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A406" w14:textId="7F589114" w:rsidR="00314D1E" w:rsidRPr="003E48BC" w:rsidRDefault="00314D1E" w:rsidP="00314D1E">
      <w:pPr>
        <w:jc w:val="center"/>
        <w:rPr>
          <w:rFonts w:ascii="Topmarks" w:hAnsi="Topmarks"/>
          <w:b/>
          <w:bCs/>
          <w:sz w:val="28"/>
          <w:u w:val="single"/>
        </w:rPr>
      </w:pPr>
      <w:r w:rsidRPr="003E48BC">
        <w:rPr>
          <w:rFonts w:ascii="Topmarks" w:hAnsi="Topmarks"/>
          <w:b/>
          <w:bCs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8186981" wp14:editId="7B9441DE">
            <wp:simplePos x="0" y="0"/>
            <wp:positionH relativeFrom="column">
              <wp:posOffset>8363775</wp:posOffset>
            </wp:positionH>
            <wp:positionV relativeFrom="paragraph">
              <wp:posOffset>-824230</wp:posOffset>
            </wp:positionV>
            <wp:extent cx="1266190" cy="1362075"/>
            <wp:effectExtent l="0" t="0" r="0" b="9525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000">
        <w:rPr>
          <w:rFonts w:ascii="Topmarks" w:hAnsi="Topmarks"/>
          <w:b/>
          <w:bCs/>
          <w:noProof/>
          <w:u w:val="single"/>
        </w:rPr>
        <w:pict w14:anchorId="01AFD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45pt;margin-top:-64.7pt;width:99.7pt;height:107.25pt;z-index:251659264;mso-position-horizontal-relative:text;mso-position-vertical-relative:text;mso-width-relative:page;mso-height-relative:page">
            <v:imagedata r:id="rId6" o:title="logo"/>
          </v:shape>
        </w:pict>
      </w:r>
      <w:r w:rsidR="00A52AB4" w:rsidRPr="003E48BC">
        <w:rPr>
          <w:rFonts w:ascii="Topmarks" w:hAnsi="Topmarks"/>
          <w:b/>
          <w:bCs/>
          <w:sz w:val="28"/>
          <w:u w:val="single"/>
        </w:rPr>
        <w:t xml:space="preserve">Buttercups snap shot </w:t>
      </w:r>
      <w:r w:rsidR="00990CF4" w:rsidRPr="003E48BC">
        <w:rPr>
          <w:rFonts w:ascii="Topmarks" w:hAnsi="Topmarks"/>
          <w:b/>
          <w:bCs/>
          <w:sz w:val="28"/>
          <w:u w:val="single"/>
        </w:rPr>
        <w:t>of the week</w:t>
      </w:r>
    </w:p>
    <w:p w14:paraId="4E2F7D01" w14:textId="77777777" w:rsidR="00314D1E" w:rsidRPr="003E48BC" w:rsidRDefault="00314D1E" w:rsidP="00314D1E">
      <w:pPr>
        <w:jc w:val="center"/>
        <w:rPr>
          <w:rFonts w:ascii="Topmarks" w:hAnsi="Topmarks"/>
          <w:sz w:val="28"/>
        </w:rPr>
      </w:pPr>
    </w:p>
    <w:p w14:paraId="0EDB6EE6" w14:textId="2DBB2FE7" w:rsidR="00990CF4" w:rsidRPr="007B5828" w:rsidRDefault="00990CF4" w:rsidP="009812CF">
      <w:pPr>
        <w:jc w:val="center"/>
        <w:rPr>
          <w:rFonts w:ascii="Topmarks" w:hAnsi="Topmarks" w:cs="Arial"/>
          <w:szCs w:val="18"/>
        </w:rPr>
      </w:pPr>
      <w:r w:rsidRPr="007B5828">
        <w:rPr>
          <w:rFonts w:ascii="Topmarks" w:hAnsi="Topmarks" w:cs="Arial"/>
          <w:szCs w:val="18"/>
        </w:rPr>
        <w:t xml:space="preserve">Here is a snapshot of some of the activities we have completed in our class this week. This </w:t>
      </w:r>
      <w:r w:rsidR="00314D1E" w:rsidRPr="007B5828">
        <w:rPr>
          <w:rFonts w:ascii="Topmarks" w:hAnsi="Topmarks" w:cs="Arial"/>
          <w:szCs w:val="18"/>
        </w:rPr>
        <w:t>snapshot</w:t>
      </w:r>
      <w:r w:rsidRPr="007B5828">
        <w:rPr>
          <w:rFonts w:ascii="Topmarks" w:hAnsi="Topmarks" w:cs="Arial"/>
          <w:szCs w:val="18"/>
        </w:rPr>
        <w:t xml:space="preserve"> may not contain all of the activities the children have been involved in. If you have any questions or need anything, p</w:t>
      </w:r>
      <w:r w:rsidR="0054118A" w:rsidRPr="007B5828">
        <w:rPr>
          <w:rFonts w:ascii="Topmarks" w:hAnsi="Topmarks" w:cs="Arial"/>
          <w:szCs w:val="18"/>
        </w:rPr>
        <w:t>lease don’t hesitate to email us</w:t>
      </w:r>
      <w:r w:rsidRPr="007B5828">
        <w:rPr>
          <w:rFonts w:ascii="Topmarks" w:hAnsi="Topmarks" w:cs="Arial"/>
          <w:szCs w:val="18"/>
        </w:rPr>
        <w:t xml:space="preserve"> on the class email –</w:t>
      </w:r>
      <w:r w:rsidR="006072AD" w:rsidRPr="007B5828">
        <w:rPr>
          <w:rFonts w:ascii="Topmarks" w:hAnsi="Topmarks" w:cs="Arial"/>
          <w:szCs w:val="18"/>
        </w:rPr>
        <w:t xml:space="preserve"> b</w:t>
      </w:r>
      <w:r w:rsidR="00A52AB4" w:rsidRPr="007B5828">
        <w:rPr>
          <w:rFonts w:ascii="Topmarks" w:hAnsi="Topmarks" w:cs="Arial"/>
          <w:szCs w:val="18"/>
        </w:rPr>
        <w:t>uttercup</w:t>
      </w:r>
      <w:r w:rsidR="006072AD" w:rsidRPr="007B5828">
        <w:rPr>
          <w:rFonts w:ascii="Topmarks" w:hAnsi="Topmarks" w:cs="Arial"/>
          <w:szCs w:val="18"/>
        </w:rPr>
        <w:t>@st-james.derbyshire.sch.uk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8442"/>
        <w:gridCol w:w="6868"/>
      </w:tblGrid>
      <w:tr w:rsidR="00990CF4" w:rsidRPr="003E48BC" w14:paraId="2B2AB907" w14:textId="77777777" w:rsidTr="00801089">
        <w:trPr>
          <w:trHeight w:val="368"/>
        </w:trPr>
        <w:tc>
          <w:tcPr>
            <w:tcW w:w="8442" w:type="dxa"/>
          </w:tcPr>
          <w:p w14:paraId="133A37BD" w14:textId="4C4239C4" w:rsidR="00990CF4" w:rsidRPr="007B5828" w:rsidRDefault="00990CF4" w:rsidP="00A936D5">
            <w:pPr>
              <w:rPr>
                <w:rFonts w:ascii="Topmarks" w:hAnsi="Topmarks" w:cs="Arial"/>
                <w:sz w:val="20"/>
                <w:szCs w:val="16"/>
              </w:rPr>
            </w:pPr>
            <w:r w:rsidRPr="007B5828">
              <w:rPr>
                <w:rFonts w:ascii="Topmarks" w:hAnsi="Topmarks" w:cs="Arial"/>
                <w:b/>
                <w:bCs/>
                <w:sz w:val="20"/>
                <w:szCs w:val="16"/>
              </w:rPr>
              <w:t>Topic</w:t>
            </w:r>
            <w:r w:rsidR="00EE1AC6">
              <w:rPr>
                <w:rFonts w:ascii="Topmarks" w:hAnsi="Topmarks" w:cs="Arial"/>
                <w:b/>
                <w:bCs/>
                <w:sz w:val="20"/>
                <w:szCs w:val="16"/>
              </w:rPr>
              <w:t xml:space="preserve">: </w:t>
            </w:r>
            <w:r w:rsidR="00EE1AC6" w:rsidRPr="00EE1AC6">
              <w:rPr>
                <w:rFonts w:ascii="Topmarks" w:hAnsi="Topmarks" w:cs="Arial"/>
                <w:sz w:val="20"/>
                <w:szCs w:val="16"/>
              </w:rPr>
              <w:t xml:space="preserve">Superheroes </w:t>
            </w:r>
          </w:p>
        </w:tc>
        <w:tc>
          <w:tcPr>
            <w:tcW w:w="6868" w:type="dxa"/>
          </w:tcPr>
          <w:p w14:paraId="3B78FA65" w14:textId="7983F0DB" w:rsidR="00990CF4" w:rsidRPr="007B5828" w:rsidRDefault="00990CF4" w:rsidP="00A936D5">
            <w:pPr>
              <w:rPr>
                <w:rFonts w:ascii="Topmarks" w:hAnsi="Topmarks" w:cs="Arial"/>
                <w:sz w:val="20"/>
                <w:szCs w:val="16"/>
              </w:rPr>
            </w:pPr>
            <w:r w:rsidRPr="007B5828">
              <w:rPr>
                <w:rFonts w:ascii="Topmarks" w:hAnsi="Topmarks" w:cs="Arial"/>
                <w:b/>
                <w:bCs/>
                <w:sz w:val="20"/>
                <w:szCs w:val="16"/>
              </w:rPr>
              <w:t>Week commencing</w:t>
            </w:r>
            <w:r w:rsidRPr="007B5828">
              <w:rPr>
                <w:rFonts w:ascii="Topmarks" w:hAnsi="Topmarks" w:cs="Arial"/>
                <w:sz w:val="20"/>
                <w:szCs w:val="16"/>
              </w:rPr>
              <w:t xml:space="preserve">: </w:t>
            </w:r>
            <w:r w:rsidR="00FC7273">
              <w:rPr>
                <w:rFonts w:ascii="Topmarks" w:hAnsi="Topmarks" w:cs="Arial"/>
                <w:sz w:val="20"/>
                <w:szCs w:val="16"/>
              </w:rPr>
              <w:t>14</w:t>
            </w:r>
            <w:r w:rsidR="00CA1837" w:rsidRPr="00CA1837">
              <w:rPr>
                <w:rFonts w:ascii="Topmarks" w:hAnsi="Topmarks" w:cs="Arial"/>
                <w:sz w:val="20"/>
                <w:szCs w:val="16"/>
                <w:vertAlign w:val="superscript"/>
              </w:rPr>
              <w:t>th</w:t>
            </w:r>
            <w:r w:rsidR="00CA1837">
              <w:rPr>
                <w:rFonts w:ascii="Topmarks" w:hAnsi="Topmarks" w:cs="Arial"/>
                <w:sz w:val="20"/>
                <w:szCs w:val="16"/>
              </w:rPr>
              <w:t xml:space="preserve"> February</w:t>
            </w:r>
            <w:r w:rsidR="00A936D5">
              <w:rPr>
                <w:rFonts w:ascii="Topmarks" w:hAnsi="Topmarks" w:cs="Arial"/>
                <w:sz w:val="20"/>
                <w:szCs w:val="16"/>
              </w:rPr>
              <w:t xml:space="preserve"> 2022</w:t>
            </w:r>
          </w:p>
        </w:tc>
      </w:tr>
      <w:tr w:rsidR="00990CF4" w:rsidRPr="003E48BC" w14:paraId="06E79A11" w14:textId="77777777" w:rsidTr="00801089">
        <w:trPr>
          <w:trHeight w:val="346"/>
        </w:trPr>
        <w:tc>
          <w:tcPr>
            <w:tcW w:w="8442" w:type="dxa"/>
          </w:tcPr>
          <w:p w14:paraId="21090E32" w14:textId="252B3737" w:rsidR="00990CF4" w:rsidRPr="007B5828" w:rsidRDefault="00990CF4" w:rsidP="00A936D5">
            <w:pPr>
              <w:rPr>
                <w:rFonts w:ascii="Topmarks" w:hAnsi="Topmarks" w:cs="Arial"/>
                <w:sz w:val="20"/>
                <w:szCs w:val="16"/>
              </w:rPr>
            </w:pPr>
            <w:r w:rsidRPr="007B5828">
              <w:rPr>
                <w:rFonts w:ascii="Topmarks" w:hAnsi="Topmarks" w:cs="Arial"/>
                <w:b/>
                <w:bCs/>
                <w:sz w:val="20"/>
                <w:szCs w:val="16"/>
              </w:rPr>
              <w:t>Class book</w:t>
            </w:r>
            <w:r w:rsidRPr="007B5828">
              <w:rPr>
                <w:rFonts w:ascii="Topmarks" w:hAnsi="Topmarks" w:cs="Arial"/>
                <w:sz w:val="20"/>
                <w:szCs w:val="16"/>
              </w:rPr>
              <w:t>:</w:t>
            </w:r>
            <w:r w:rsidR="006072AD" w:rsidRPr="007B5828">
              <w:rPr>
                <w:rFonts w:ascii="Topmarks" w:hAnsi="Topmarks" w:cs="Arial"/>
                <w:sz w:val="20"/>
                <w:szCs w:val="16"/>
              </w:rPr>
              <w:t xml:space="preserve"> </w:t>
            </w:r>
          </w:p>
        </w:tc>
        <w:tc>
          <w:tcPr>
            <w:tcW w:w="6868" w:type="dxa"/>
          </w:tcPr>
          <w:p w14:paraId="73726708" w14:textId="77777777" w:rsidR="00990CF4" w:rsidRPr="007B5828" w:rsidRDefault="00990CF4" w:rsidP="00990CF4">
            <w:pPr>
              <w:rPr>
                <w:rFonts w:ascii="Topmarks" w:hAnsi="Topmarks" w:cs="Arial"/>
                <w:sz w:val="20"/>
                <w:szCs w:val="16"/>
              </w:rPr>
            </w:pPr>
          </w:p>
        </w:tc>
      </w:tr>
    </w:tbl>
    <w:p w14:paraId="7E0E30E6" w14:textId="77777777" w:rsidR="00990CF4" w:rsidRPr="003E48BC" w:rsidRDefault="00990CF4" w:rsidP="00990CF4">
      <w:pPr>
        <w:rPr>
          <w:rFonts w:ascii="Topmarks" w:hAnsi="Topmarks" w:cs="Arial"/>
          <w:sz w:val="28"/>
        </w:rPr>
      </w:pPr>
    </w:p>
    <w:tbl>
      <w:tblPr>
        <w:tblStyle w:val="TableGrid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514"/>
        <w:gridCol w:w="8647"/>
      </w:tblGrid>
      <w:tr w:rsidR="00990CF4" w:rsidRPr="003E48BC" w14:paraId="325E6F32" w14:textId="77777777" w:rsidTr="00D41000">
        <w:trPr>
          <w:trHeight w:val="2761"/>
        </w:trPr>
        <w:tc>
          <w:tcPr>
            <w:tcW w:w="7514" w:type="dxa"/>
          </w:tcPr>
          <w:p w14:paraId="319E009B" w14:textId="77777777" w:rsidR="00EC6A6D" w:rsidRDefault="00FC6847" w:rsidP="001437AB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r>
              <w:rPr>
                <w:rFonts w:ascii="Topmarks" w:hAnsi="Topmarks" w:cs="Arial"/>
                <w:b/>
                <w:sz w:val="20"/>
                <w:szCs w:val="20"/>
              </w:rPr>
              <w:t xml:space="preserve">Our Topic Next Term </w:t>
            </w:r>
          </w:p>
          <w:p w14:paraId="06AB7687" w14:textId="77777777" w:rsidR="00C219D7" w:rsidRDefault="00FC6847" w:rsidP="00C219D7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>
              <w:rPr>
                <w:rFonts w:ascii="Topmarks" w:hAnsi="Topmarks" w:cs="Arial"/>
                <w:bCs/>
                <w:sz w:val="20"/>
                <w:szCs w:val="20"/>
              </w:rPr>
              <w:t>W</w:t>
            </w:r>
            <w:r w:rsidRPr="00FC6847">
              <w:rPr>
                <w:rFonts w:ascii="Topmarks" w:hAnsi="Topmarks" w:cs="Arial"/>
                <w:bCs/>
                <w:sz w:val="20"/>
                <w:szCs w:val="20"/>
              </w:rPr>
              <w:t xml:space="preserve">e’re going to discover that animals come in all shapes and sizes! </w:t>
            </w:r>
          </w:p>
          <w:p w14:paraId="25358A7B" w14:textId="31E87BD0" w:rsidR="00C219D7" w:rsidRPr="00C219D7" w:rsidRDefault="00C219D7" w:rsidP="00C219D7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r w:rsidRPr="00C219D7">
              <w:rPr>
                <w:rFonts w:ascii="Topmarks" w:hAnsi="Topmarks" w:cs="Arial"/>
                <w:b/>
                <w:sz w:val="20"/>
                <w:szCs w:val="20"/>
              </w:rPr>
              <w:t>Help your child prepare for th</w:t>
            </w:r>
            <w:r>
              <w:rPr>
                <w:rFonts w:ascii="Topmarks" w:hAnsi="Topmarks" w:cs="Arial"/>
                <w:b/>
                <w:sz w:val="20"/>
                <w:szCs w:val="20"/>
              </w:rPr>
              <w:t xml:space="preserve">e Topic. </w:t>
            </w:r>
          </w:p>
          <w:p w14:paraId="3431D29F" w14:textId="77777777" w:rsidR="00C219D7" w:rsidRDefault="00C219D7" w:rsidP="00C219D7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C219D7">
              <w:rPr>
                <w:rFonts w:ascii="Topmarks" w:hAnsi="Topmarks" w:cs="Arial"/>
                <w:bCs/>
                <w:sz w:val="20"/>
                <w:szCs w:val="20"/>
              </w:rPr>
              <w:t xml:space="preserve">Animals are amazing! </w:t>
            </w:r>
          </w:p>
          <w:p w14:paraId="59162E95" w14:textId="77777777" w:rsidR="00C219D7" w:rsidRDefault="00C219D7" w:rsidP="00C219D7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C219D7">
              <w:rPr>
                <w:rFonts w:ascii="Topmarks" w:hAnsi="Topmarks" w:cs="Arial"/>
                <w:bCs/>
                <w:sz w:val="20"/>
                <w:szCs w:val="20"/>
              </w:rPr>
              <w:t xml:space="preserve">Why not take photos of a favourite pet together and describe their habits, likes and dislikes? </w:t>
            </w:r>
          </w:p>
          <w:p w14:paraId="136E318C" w14:textId="7669EF81" w:rsidR="00FC6847" w:rsidRDefault="00C219D7" w:rsidP="00C219D7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C219D7">
              <w:rPr>
                <w:rFonts w:ascii="Topmarks" w:hAnsi="Topmarks" w:cs="Arial"/>
                <w:bCs/>
                <w:sz w:val="20"/>
                <w:szCs w:val="20"/>
              </w:rPr>
              <w:t>You could also put bird food in the garden and visit a local park or nature reserve for a spot of bird watching. Make a note of their markings and features then use a simple spotting book or app to identify different species. Alternatively, visiting the local pet shop or petting zoo would allow you to observe a wide range of different animals.</w:t>
            </w:r>
          </w:p>
          <w:p w14:paraId="02E889D7" w14:textId="734A6816" w:rsidR="00C219D7" w:rsidRPr="00FC6847" w:rsidRDefault="00C219D7" w:rsidP="001437AB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>
              <w:rPr>
                <w:rFonts w:ascii="Topmarks" w:hAnsi="Topmarks" w:cs="Arial"/>
                <w:bCs/>
                <w:sz w:val="20"/>
                <w:szCs w:val="20"/>
              </w:rPr>
              <w:t xml:space="preserve">More Topic information to follow on our class page on the school website. </w:t>
            </w:r>
          </w:p>
        </w:tc>
        <w:tc>
          <w:tcPr>
            <w:tcW w:w="8647" w:type="dxa"/>
          </w:tcPr>
          <w:p w14:paraId="50BCBCA0" w14:textId="7F056606" w:rsidR="00EC5F3B" w:rsidRDefault="006072AD" w:rsidP="00285241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r w:rsidRPr="007B5828">
              <w:rPr>
                <w:rFonts w:ascii="Topmarks" w:hAnsi="Topmarks" w:cs="Arial"/>
                <w:b/>
                <w:sz w:val="20"/>
                <w:szCs w:val="20"/>
              </w:rPr>
              <w:t xml:space="preserve">Maths </w:t>
            </w:r>
          </w:p>
          <w:p w14:paraId="4F2DCF7A" w14:textId="398B874D" w:rsidR="009D553B" w:rsidRPr="00C908B9" w:rsidRDefault="00C655BD" w:rsidP="00CA1837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>
              <w:rPr>
                <w:rFonts w:ascii="Topmarks" w:hAnsi="Topmarks" w:cs="Arial"/>
                <w:b/>
                <w:sz w:val="20"/>
                <w:szCs w:val="20"/>
              </w:rPr>
              <w:t xml:space="preserve">Reception: </w:t>
            </w:r>
            <w:r w:rsidR="00C908B9" w:rsidRPr="00C908B9">
              <w:rPr>
                <w:rFonts w:ascii="Topmarks" w:hAnsi="Topmarks" w:cs="Arial"/>
                <w:bCs/>
                <w:sz w:val="20"/>
                <w:szCs w:val="20"/>
              </w:rPr>
              <w:t xml:space="preserve">This week the children have been </w:t>
            </w:r>
            <w:r w:rsidR="00FC7273">
              <w:rPr>
                <w:rFonts w:ascii="Topmarks" w:hAnsi="Topmarks" w:cs="Arial"/>
                <w:bCs/>
                <w:sz w:val="20"/>
                <w:szCs w:val="20"/>
              </w:rPr>
              <w:t xml:space="preserve">learning about matching pairs. Through various practical activities the children have learnt that 2 make a pair and practiced counting in 2’s up to 10.  I have challenged the children to find examples of pairs at home. Please upload this to Tapestry.  </w:t>
            </w:r>
          </w:p>
          <w:p w14:paraId="6BEA27BE" w14:textId="0B505241" w:rsidR="00EE1AC6" w:rsidRPr="00EE1AC6" w:rsidRDefault="00A3413D" w:rsidP="00EE1AC6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C908B9">
              <w:rPr>
                <w:rFonts w:ascii="Topmarks" w:hAnsi="Topmarks" w:cs="Arial"/>
                <w:b/>
                <w:sz w:val="20"/>
                <w:szCs w:val="20"/>
              </w:rPr>
              <w:t>Year One:</w:t>
            </w:r>
            <w:r w:rsidRPr="00C908B9">
              <w:rPr>
                <w:rFonts w:ascii="Topmarks" w:hAnsi="Topmarks" w:cs="Arial"/>
                <w:bCs/>
                <w:sz w:val="20"/>
                <w:szCs w:val="20"/>
              </w:rPr>
              <w:t xml:space="preserve"> </w:t>
            </w:r>
            <w:r w:rsidR="00EE1AC6">
              <w:rPr>
                <w:rFonts w:ascii="Topmarks" w:hAnsi="Topmarks" w:cs="Arial"/>
                <w:bCs/>
                <w:sz w:val="20"/>
                <w:szCs w:val="20"/>
              </w:rPr>
              <w:t>The c</w:t>
            </w:r>
            <w:r w:rsidR="00EE1AC6"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hildren </w:t>
            </w:r>
            <w:r w:rsidR="00EE1AC6">
              <w:rPr>
                <w:rFonts w:ascii="Topmarks" w:hAnsi="Topmarks" w:cs="Arial"/>
                <w:bCs/>
                <w:sz w:val="20"/>
                <w:szCs w:val="20"/>
              </w:rPr>
              <w:t>have been using</w:t>
            </w:r>
            <w:r w:rsidR="00EE1AC6"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 practical equipment to represent numbers to 50</w:t>
            </w:r>
          </w:p>
          <w:p w14:paraId="632C2E02" w14:textId="0762F86A" w:rsidR="00EE1AC6" w:rsidRPr="00EE1AC6" w:rsidRDefault="00EE1AC6" w:rsidP="00EE1AC6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>They continue to build their understanding that ten ones can be grouped into one ten. The</w:t>
            </w:r>
            <w:r>
              <w:rPr>
                <w:rFonts w:ascii="Topmarks" w:hAnsi="Topmarks" w:cs="Arial"/>
                <w:bCs/>
                <w:sz w:val="20"/>
                <w:szCs w:val="20"/>
              </w:rPr>
              <w:t xml:space="preserve"> children have practiced grouping equipment </w:t>
            </w:r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(straws, cubes, lolly sticks, 10 frames) </w:t>
            </w:r>
            <w:r>
              <w:rPr>
                <w:rFonts w:ascii="Topmarks" w:hAnsi="Topmarks" w:cs="Arial"/>
                <w:bCs/>
                <w:sz w:val="20"/>
                <w:szCs w:val="20"/>
              </w:rPr>
              <w:t xml:space="preserve">into tens themselves </w:t>
            </w:r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It is important that children understand how a number is made </w:t>
            </w:r>
          </w:p>
          <w:p w14:paraId="7C967048" w14:textId="30EDF837" w:rsidR="009D553B" w:rsidRPr="00C908B9" w:rsidRDefault="00EE1AC6" w:rsidP="00EE1AC6">
            <w:pPr>
              <w:jc w:val="both"/>
              <w:rPr>
                <w:rFonts w:ascii="Topmarks" w:hAnsi="Topmarks"/>
                <w:bCs/>
                <w:sz w:val="20"/>
                <w:szCs w:val="20"/>
              </w:rPr>
            </w:pPr>
            <w:proofErr w:type="gramStart"/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>up</w:t>
            </w:r>
            <w:proofErr w:type="gramEnd"/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 of t</w:t>
            </w:r>
            <w:bookmarkStart w:id="0" w:name="_GoBack"/>
            <w:bookmarkEnd w:id="0"/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ens and ones, e.g. 34 = 3 </w:t>
            </w:r>
            <w:proofErr w:type="spellStart"/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>tens</w:t>
            </w:r>
            <w:proofErr w:type="spellEnd"/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 and 4 ones.</w:t>
            </w:r>
          </w:p>
        </w:tc>
      </w:tr>
      <w:tr w:rsidR="00990CF4" w:rsidRPr="003E48BC" w14:paraId="29CFFCAB" w14:textId="77777777" w:rsidTr="00CB463B">
        <w:trPr>
          <w:trHeight w:val="1557"/>
        </w:trPr>
        <w:tc>
          <w:tcPr>
            <w:tcW w:w="7514" w:type="dxa"/>
          </w:tcPr>
          <w:p w14:paraId="4C40741E" w14:textId="562ADBE1" w:rsidR="00510A5A" w:rsidRDefault="00ED4EE4" w:rsidP="00FB0351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r w:rsidRPr="008A5999">
              <w:rPr>
                <w:rFonts w:ascii="Topmarks" w:hAnsi="Topmarks" w:cs="Arial"/>
                <w:b/>
                <w:sz w:val="20"/>
                <w:szCs w:val="20"/>
              </w:rPr>
              <w:t>Other areas of learning.</w:t>
            </w:r>
          </w:p>
          <w:p w14:paraId="169AAE59" w14:textId="77777777" w:rsidR="00C219D7" w:rsidRDefault="00C219D7" w:rsidP="00C219D7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</w:p>
          <w:p w14:paraId="62F846BA" w14:textId="3EE29C80" w:rsidR="00BA0DA6" w:rsidRDefault="00C219D7" w:rsidP="00C219D7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>
              <w:rPr>
                <w:rFonts w:ascii="Topmarks" w:hAnsi="Topmarks" w:cs="Arial"/>
                <w:bCs/>
                <w:sz w:val="20"/>
                <w:szCs w:val="20"/>
              </w:rPr>
              <w:t>WOW day – Monday 28</w:t>
            </w:r>
            <w:r w:rsidRPr="00C219D7">
              <w:rPr>
                <w:rFonts w:ascii="Topmarks" w:hAnsi="Topmarks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opmarks" w:hAnsi="Topmarks" w:cs="Arial"/>
                <w:bCs/>
                <w:sz w:val="20"/>
                <w:szCs w:val="20"/>
              </w:rPr>
              <w:t xml:space="preserve"> February 2022 </w:t>
            </w:r>
          </w:p>
          <w:p w14:paraId="07323DFA" w14:textId="200054DD" w:rsidR="00C219D7" w:rsidRPr="00C219D7" w:rsidRDefault="00C219D7" w:rsidP="00C219D7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>
              <w:rPr>
                <w:rFonts w:ascii="Topmarks" w:hAnsi="Topmarks" w:cs="Arial"/>
                <w:bCs/>
                <w:sz w:val="20"/>
                <w:szCs w:val="20"/>
              </w:rPr>
              <w:t xml:space="preserve">Children to come to school dressed as an animal. Spend time finding out some information or key facts about your chosen animal. </w:t>
            </w:r>
          </w:p>
        </w:tc>
        <w:tc>
          <w:tcPr>
            <w:tcW w:w="8647" w:type="dxa"/>
            <w:vMerge w:val="restart"/>
          </w:tcPr>
          <w:p w14:paraId="58DA295C" w14:textId="10112CD5" w:rsidR="00A2461B" w:rsidRDefault="00990CF4" w:rsidP="001362B6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r w:rsidRPr="007B5828">
              <w:rPr>
                <w:rFonts w:ascii="Topmarks" w:hAnsi="Topmarks" w:cs="Arial"/>
                <w:b/>
                <w:sz w:val="20"/>
                <w:szCs w:val="20"/>
              </w:rPr>
              <w:t>Any other information</w:t>
            </w:r>
          </w:p>
          <w:p w14:paraId="1B093BBD" w14:textId="5B2A5B14" w:rsidR="00EE1AC6" w:rsidRPr="00EE1AC6" w:rsidRDefault="00EE1AC6" w:rsidP="00EE1AC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After the half term children no longer need to bring a water bottle to school. Drinks will be provided in class. </w:t>
            </w:r>
          </w:p>
          <w:p w14:paraId="79897810" w14:textId="7166BEDD" w:rsidR="00CB463B" w:rsidRPr="00EE1AC6" w:rsidRDefault="00EE1AC6" w:rsidP="00EE1AC6">
            <w:pPr>
              <w:pStyle w:val="ListParagraph"/>
              <w:numPr>
                <w:ilvl w:val="0"/>
                <w:numId w:val="4"/>
              </w:numPr>
              <w:rPr>
                <w:rFonts w:ascii="Topmarks" w:hAnsi="Topmarks" w:cs="Arial"/>
                <w:bCs/>
                <w:sz w:val="20"/>
                <w:szCs w:val="20"/>
              </w:rPr>
            </w:pPr>
            <w:r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White Rose Maths App </w:t>
            </w:r>
            <w:hyperlink r:id="rId7" w:history="1">
              <w:r w:rsidR="00CA1837" w:rsidRPr="00EE1AC6">
                <w:rPr>
                  <w:rStyle w:val="Hyperlink"/>
                  <w:rFonts w:ascii="Topmarks" w:hAnsi="Topmarks" w:cs="Arial"/>
                  <w:bCs/>
                  <w:sz w:val="20"/>
                  <w:szCs w:val="20"/>
                </w:rPr>
                <w:t>https://play.google.com/store/apps/details?id=com.whiterosemaths.oneminutemathsks1</w:t>
              </w:r>
            </w:hyperlink>
            <w:r w:rsidR="00CA1837" w:rsidRPr="00EE1AC6">
              <w:rPr>
                <w:rFonts w:ascii="Topmarks" w:hAnsi="Topmarks" w:cs="Arial"/>
                <w:bCs/>
                <w:sz w:val="20"/>
                <w:szCs w:val="20"/>
              </w:rPr>
              <w:t xml:space="preserve"> </w:t>
            </w:r>
          </w:p>
        </w:tc>
      </w:tr>
      <w:tr w:rsidR="00990CF4" w:rsidRPr="0060021A" w14:paraId="088AD6C4" w14:textId="77777777" w:rsidTr="00CB463B">
        <w:trPr>
          <w:trHeight w:val="109"/>
        </w:trPr>
        <w:tc>
          <w:tcPr>
            <w:tcW w:w="7514" w:type="dxa"/>
          </w:tcPr>
          <w:p w14:paraId="103469AC" w14:textId="15541CA0" w:rsidR="00662957" w:rsidRPr="007B5828" w:rsidRDefault="00990CF4" w:rsidP="00662957">
            <w:pPr>
              <w:rPr>
                <w:rFonts w:ascii="Topmarks" w:hAnsi="Topmarks"/>
                <w:sz w:val="20"/>
                <w:szCs w:val="20"/>
              </w:rPr>
            </w:pPr>
            <w:r w:rsidRPr="007B5828">
              <w:rPr>
                <w:rFonts w:ascii="Topmarks" w:hAnsi="Topmarks"/>
                <w:b/>
                <w:bCs/>
                <w:sz w:val="20"/>
                <w:szCs w:val="20"/>
              </w:rPr>
              <w:t>Star of the week:</w:t>
            </w:r>
            <w:r w:rsidR="00AE7D7E">
              <w:rPr>
                <w:rFonts w:ascii="Topmarks" w:hAnsi="Topmarks"/>
                <w:b/>
                <w:bCs/>
                <w:sz w:val="20"/>
                <w:szCs w:val="20"/>
              </w:rPr>
              <w:t xml:space="preserve"> </w:t>
            </w:r>
            <w:r w:rsidR="00D41000">
              <w:rPr>
                <w:rFonts w:ascii="Topmarks" w:hAnsi="Topmarks"/>
                <w:b/>
                <w:bCs/>
                <w:sz w:val="20"/>
                <w:szCs w:val="20"/>
              </w:rPr>
              <w:t xml:space="preserve">Olivia </w:t>
            </w:r>
          </w:p>
          <w:p w14:paraId="20D37787" w14:textId="1B914322" w:rsidR="00990CF4" w:rsidRPr="00A3504B" w:rsidRDefault="00990CF4" w:rsidP="00662957">
            <w:pPr>
              <w:rPr>
                <w:rFonts w:ascii="Sassoon Primary" w:hAnsi="Sassoon Primary"/>
                <w:b/>
                <w:bCs/>
              </w:rPr>
            </w:pPr>
            <w:r w:rsidRPr="007B5828">
              <w:rPr>
                <w:rFonts w:ascii="Topmarks" w:hAnsi="Topmarks"/>
                <w:b/>
                <w:bCs/>
                <w:sz w:val="20"/>
                <w:szCs w:val="20"/>
              </w:rPr>
              <w:t>Christian Value Award:</w:t>
            </w:r>
            <w:r w:rsidR="00D07483" w:rsidRPr="007B5828">
              <w:rPr>
                <w:rFonts w:ascii="Topmarks" w:hAnsi="Topmarks"/>
                <w:b/>
                <w:bCs/>
                <w:sz w:val="20"/>
                <w:szCs w:val="20"/>
              </w:rPr>
              <w:t xml:space="preserve"> </w:t>
            </w:r>
            <w:r w:rsidR="00D41000">
              <w:rPr>
                <w:rFonts w:ascii="Topmarks" w:hAnsi="Topmarks"/>
                <w:b/>
                <w:bCs/>
                <w:sz w:val="20"/>
                <w:szCs w:val="20"/>
              </w:rPr>
              <w:t xml:space="preserve">Rohan </w:t>
            </w:r>
          </w:p>
        </w:tc>
        <w:tc>
          <w:tcPr>
            <w:tcW w:w="8647" w:type="dxa"/>
            <w:vMerge/>
          </w:tcPr>
          <w:p w14:paraId="6B9D31C2" w14:textId="77777777" w:rsidR="00990CF4" w:rsidRPr="0060021A" w:rsidRDefault="00990CF4" w:rsidP="00990CF4">
            <w:pPr>
              <w:rPr>
                <w:rFonts w:ascii="Sassoon Primary" w:hAnsi="Sassoon Primary"/>
              </w:rPr>
            </w:pPr>
          </w:p>
        </w:tc>
      </w:tr>
    </w:tbl>
    <w:p w14:paraId="515DD746" w14:textId="77777777" w:rsidR="00990CF4" w:rsidRPr="0060021A" w:rsidRDefault="00990CF4" w:rsidP="00990CF4">
      <w:pPr>
        <w:rPr>
          <w:rFonts w:ascii="Sassoon Primary" w:hAnsi="Sassoon Primary"/>
        </w:rPr>
      </w:pPr>
    </w:p>
    <w:sectPr w:rsidR="00990CF4" w:rsidRPr="0060021A" w:rsidSect="00990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pmark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84B"/>
    <w:multiLevelType w:val="hybridMultilevel"/>
    <w:tmpl w:val="B7FCD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107A"/>
    <w:multiLevelType w:val="hybridMultilevel"/>
    <w:tmpl w:val="32E2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B04A6"/>
    <w:multiLevelType w:val="hybridMultilevel"/>
    <w:tmpl w:val="9C70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E27CD"/>
    <w:multiLevelType w:val="multilevel"/>
    <w:tmpl w:val="3CDE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014EAC"/>
    <w:rsid w:val="0011575E"/>
    <w:rsid w:val="001362B6"/>
    <w:rsid w:val="001437AB"/>
    <w:rsid w:val="00143D7A"/>
    <w:rsid w:val="00171B61"/>
    <w:rsid w:val="00184867"/>
    <w:rsid w:val="0019025A"/>
    <w:rsid w:val="001D38BE"/>
    <w:rsid w:val="001E6794"/>
    <w:rsid w:val="00266520"/>
    <w:rsid w:val="00285241"/>
    <w:rsid w:val="00291D92"/>
    <w:rsid w:val="002C4933"/>
    <w:rsid w:val="00314D1E"/>
    <w:rsid w:val="003E48BC"/>
    <w:rsid w:val="0043065C"/>
    <w:rsid w:val="0046741C"/>
    <w:rsid w:val="004A0B42"/>
    <w:rsid w:val="004B162E"/>
    <w:rsid w:val="004C35D7"/>
    <w:rsid w:val="004C67A3"/>
    <w:rsid w:val="004F0E58"/>
    <w:rsid w:val="004F4A6A"/>
    <w:rsid w:val="00500F42"/>
    <w:rsid w:val="00510A5A"/>
    <w:rsid w:val="0054118A"/>
    <w:rsid w:val="00543464"/>
    <w:rsid w:val="00553BA3"/>
    <w:rsid w:val="00565DF1"/>
    <w:rsid w:val="00575536"/>
    <w:rsid w:val="005A3994"/>
    <w:rsid w:val="005A3D58"/>
    <w:rsid w:val="0060021A"/>
    <w:rsid w:val="006072AD"/>
    <w:rsid w:val="00662957"/>
    <w:rsid w:val="0067521D"/>
    <w:rsid w:val="006833C9"/>
    <w:rsid w:val="00685390"/>
    <w:rsid w:val="006A59C5"/>
    <w:rsid w:val="006B6EF5"/>
    <w:rsid w:val="006F34A3"/>
    <w:rsid w:val="0071414F"/>
    <w:rsid w:val="00734CF2"/>
    <w:rsid w:val="00772AAC"/>
    <w:rsid w:val="007765C3"/>
    <w:rsid w:val="007B5828"/>
    <w:rsid w:val="00801089"/>
    <w:rsid w:val="00814A89"/>
    <w:rsid w:val="00830333"/>
    <w:rsid w:val="0085292B"/>
    <w:rsid w:val="008531F1"/>
    <w:rsid w:val="00887092"/>
    <w:rsid w:val="008A5999"/>
    <w:rsid w:val="008C7932"/>
    <w:rsid w:val="008F1509"/>
    <w:rsid w:val="008F3E98"/>
    <w:rsid w:val="00953858"/>
    <w:rsid w:val="00953D5F"/>
    <w:rsid w:val="009812CF"/>
    <w:rsid w:val="00990CF4"/>
    <w:rsid w:val="009A4DBD"/>
    <w:rsid w:val="009D553B"/>
    <w:rsid w:val="00A15721"/>
    <w:rsid w:val="00A2461B"/>
    <w:rsid w:val="00A3413D"/>
    <w:rsid w:val="00A3504B"/>
    <w:rsid w:val="00A42C0F"/>
    <w:rsid w:val="00A52AB4"/>
    <w:rsid w:val="00A71F28"/>
    <w:rsid w:val="00A936D5"/>
    <w:rsid w:val="00AC07BF"/>
    <w:rsid w:val="00AD6CD3"/>
    <w:rsid w:val="00AE7D7E"/>
    <w:rsid w:val="00AF6A08"/>
    <w:rsid w:val="00B06C9E"/>
    <w:rsid w:val="00B21977"/>
    <w:rsid w:val="00B37120"/>
    <w:rsid w:val="00B66A61"/>
    <w:rsid w:val="00BA0DA6"/>
    <w:rsid w:val="00BB5280"/>
    <w:rsid w:val="00BE7E27"/>
    <w:rsid w:val="00C219D7"/>
    <w:rsid w:val="00C26BF1"/>
    <w:rsid w:val="00C655BD"/>
    <w:rsid w:val="00C908B9"/>
    <w:rsid w:val="00CA1837"/>
    <w:rsid w:val="00CB463B"/>
    <w:rsid w:val="00CF3867"/>
    <w:rsid w:val="00CF668B"/>
    <w:rsid w:val="00D07483"/>
    <w:rsid w:val="00D41000"/>
    <w:rsid w:val="00D8068B"/>
    <w:rsid w:val="00D86AA9"/>
    <w:rsid w:val="00E06EDC"/>
    <w:rsid w:val="00E42E3E"/>
    <w:rsid w:val="00E86B65"/>
    <w:rsid w:val="00EB3FB0"/>
    <w:rsid w:val="00EC5F3B"/>
    <w:rsid w:val="00EC6A6D"/>
    <w:rsid w:val="00ED4EE4"/>
    <w:rsid w:val="00EE1AC6"/>
    <w:rsid w:val="00EF269C"/>
    <w:rsid w:val="00F23811"/>
    <w:rsid w:val="00F94CF5"/>
    <w:rsid w:val="00F956C4"/>
    <w:rsid w:val="00F96C90"/>
    <w:rsid w:val="00FB0351"/>
    <w:rsid w:val="00FC44FC"/>
    <w:rsid w:val="00FC6847"/>
    <w:rsid w:val="00FC7273"/>
    <w:rsid w:val="00FD777D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E0EDDB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AB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6BF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58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1837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whiterosemaths.oneminutemathsk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Jade Taylor</cp:lastModifiedBy>
  <cp:revision>3</cp:revision>
  <dcterms:created xsi:type="dcterms:W3CDTF">2022-02-16T16:53:00Z</dcterms:created>
  <dcterms:modified xsi:type="dcterms:W3CDTF">2022-02-18T13:18:00Z</dcterms:modified>
</cp:coreProperties>
</file>