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A402" w14:textId="77777777" w:rsidR="00C25864" w:rsidRDefault="00C25864" w:rsidP="00C25864">
      <w:pPr>
        <w:spacing w:before="100" w:beforeAutospacing="1" w:after="100" w:afterAutospacing="1"/>
        <w:contextualSpacing/>
        <w:jc w:val="both"/>
        <w:rPr>
          <w:rFonts w:cs="Arial"/>
          <w:b/>
        </w:rPr>
      </w:pPr>
      <w:r>
        <w:rPr>
          <w:rFonts w:cs="Arial"/>
          <w:b/>
        </w:rPr>
        <w:t>Declaration of Eligibility to Service as a School Governor</w:t>
      </w:r>
    </w:p>
    <w:p w14:paraId="01BEA18B" w14:textId="77777777" w:rsidR="00C25864" w:rsidRDefault="00C25864" w:rsidP="00C25864">
      <w:pPr>
        <w:widowControl w:val="0"/>
        <w:overflowPunct w:val="0"/>
        <w:autoSpaceDE w:val="0"/>
        <w:autoSpaceDN w:val="0"/>
        <w:adjustRightInd w:val="0"/>
        <w:ind w:right="-20"/>
        <w:outlineLvl w:val="0"/>
        <w:rPr>
          <w:rFonts w:cs="Arial"/>
          <w:b/>
          <w:color w:val="000000"/>
          <w:sz w:val="26"/>
          <w:szCs w:val="28"/>
        </w:rPr>
      </w:pPr>
      <w:r>
        <w:rPr>
          <w:rFonts w:cs="Arial"/>
          <w:b/>
          <w:color w:val="000000"/>
          <w:sz w:val="26"/>
          <w:szCs w:val="28"/>
        </w:rPr>
        <w:t>QUALIFICATIONS AND DISQUALIFICATIONS</w:t>
      </w:r>
    </w:p>
    <w:p w14:paraId="0948098C" w14:textId="77777777" w:rsidR="00C25864" w:rsidRDefault="00C25864" w:rsidP="00C25864">
      <w:pPr>
        <w:widowControl w:val="0"/>
        <w:overflowPunct w:val="0"/>
        <w:autoSpaceDE w:val="0"/>
        <w:autoSpaceDN w:val="0"/>
        <w:adjustRightInd w:val="0"/>
        <w:ind w:right="-20"/>
        <w:outlineLvl w:val="0"/>
        <w:rPr>
          <w:rFonts w:cs="Arial"/>
          <w:b/>
          <w:color w:val="000000"/>
          <w:sz w:val="20"/>
          <w:szCs w:val="20"/>
        </w:rPr>
      </w:pPr>
    </w:p>
    <w:p w14:paraId="2BA2EE3E" w14:textId="77777777" w:rsidR="00C25864" w:rsidRDefault="00C25864" w:rsidP="00C25864">
      <w:pPr>
        <w:shd w:val="clear" w:color="auto" w:fill="FFFFFF"/>
        <w:spacing w:after="120" w:line="288" w:lineRule="atLeast"/>
        <w:contextualSpacing/>
        <w:jc w:val="both"/>
        <w:outlineLvl w:val="3"/>
        <w:rPr>
          <w:rFonts w:cs="Arial"/>
          <w:b/>
          <w:bCs/>
          <w:color w:val="000000"/>
          <w:sz w:val="20"/>
          <w:szCs w:val="20"/>
          <w:lang w:val="en"/>
        </w:rPr>
      </w:pPr>
      <w:r>
        <w:rPr>
          <w:rFonts w:cs="Arial"/>
          <w:b/>
          <w:bCs/>
          <w:color w:val="000000"/>
          <w:sz w:val="20"/>
          <w:lang w:val="en"/>
        </w:rPr>
        <w:t>General</w:t>
      </w:r>
    </w:p>
    <w:p w14:paraId="249A9BB4"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bCs/>
          <w:color w:val="494949"/>
          <w:sz w:val="20"/>
          <w:lang w:val="en"/>
        </w:rPr>
        <w:t>1.</w:t>
      </w:r>
      <w:r>
        <w:rPr>
          <w:rFonts w:cs="Arial"/>
          <w:color w:val="494949"/>
          <w:sz w:val="20"/>
          <w:lang w:val="en"/>
        </w:rPr>
        <w:t xml:space="preserve">  A person is disqualified from holding or from continuing to hold office as a governor of a school at any time when the person is a registered pupil at the school. </w:t>
      </w:r>
    </w:p>
    <w:p w14:paraId="5A541527"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2.  A person is disqualified from being elected or appointed as a governor unless the person is aged 18 or over. </w:t>
      </w:r>
    </w:p>
    <w:p w14:paraId="66BC69AC"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3.  Save as otherwise provided in these Regulations, the fact that a person is qualified to be elected or appointed as a governor of a particular category at a school does not disqualify the person from election or appointment or from continuing as a governor of any other category at that school, but no person may at any time hold the office of more than one governor of the same school. </w:t>
      </w:r>
    </w:p>
    <w:p w14:paraId="652ECE3D"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4.  Any person who is disqualified from holding office as a governor of a school under this Schedule is likewise disqualified from holding or continuing to hold office as an associate member of the Governing Board unless the disqualification is under paragraphs 1 or 2 of this Schedule. </w:t>
      </w:r>
    </w:p>
    <w:p w14:paraId="4FAAE36F" w14:textId="77777777" w:rsidR="00C25864" w:rsidRDefault="00C25864" w:rsidP="00C25864">
      <w:pPr>
        <w:shd w:val="clear" w:color="auto" w:fill="FFFFFF"/>
        <w:spacing w:after="120" w:line="288" w:lineRule="atLeast"/>
        <w:contextualSpacing/>
        <w:jc w:val="both"/>
        <w:outlineLvl w:val="3"/>
        <w:rPr>
          <w:rFonts w:cs="Arial"/>
          <w:b/>
          <w:bCs/>
          <w:color w:val="000000"/>
          <w:sz w:val="20"/>
          <w:lang w:val="en"/>
        </w:rPr>
      </w:pPr>
      <w:r>
        <w:rPr>
          <w:rFonts w:cs="Arial"/>
          <w:b/>
          <w:bCs/>
          <w:color w:val="000000"/>
          <w:sz w:val="20"/>
          <w:lang w:val="en"/>
        </w:rPr>
        <w:t>Disqualification criteria for categories of governor</w:t>
      </w:r>
    </w:p>
    <w:p w14:paraId="69E3FB07" w14:textId="77777777" w:rsidR="00C25864" w:rsidRDefault="00C25864" w:rsidP="00C25864">
      <w:pPr>
        <w:shd w:val="clear" w:color="auto" w:fill="FFFFFF"/>
        <w:spacing w:after="120" w:line="360" w:lineRule="atLeast"/>
        <w:contextualSpacing/>
        <w:jc w:val="both"/>
        <w:rPr>
          <w:rFonts w:cs="Arial"/>
          <w:color w:val="494949"/>
          <w:sz w:val="20"/>
          <w:lang w:val="en"/>
        </w:rPr>
      </w:pPr>
      <w:proofErr w:type="gramStart"/>
      <w:r>
        <w:rPr>
          <w:rFonts w:cs="Arial"/>
          <w:b/>
          <w:bCs/>
          <w:color w:val="494949"/>
          <w:sz w:val="20"/>
          <w:lang w:val="en"/>
        </w:rPr>
        <w:t>5.</w:t>
      </w:r>
      <w:r>
        <w:rPr>
          <w:rFonts w:cs="Arial"/>
          <w:color w:val="494949"/>
          <w:sz w:val="20"/>
          <w:lang w:val="en"/>
        </w:rPr>
        <w:t>  (</w:t>
      </w:r>
      <w:proofErr w:type="gramEnd"/>
      <w:r>
        <w:rPr>
          <w:rFonts w:cs="Arial"/>
          <w:color w:val="494949"/>
          <w:sz w:val="20"/>
          <w:lang w:val="en"/>
        </w:rPr>
        <w:t xml:space="preserve">1)  A person is disqualified from election or appointment as a parent governor of a school if the person— </w:t>
      </w:r>
    </w:p>
    <w:p w14:paraId="6A223659"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 xml:space="preserve">(a) is an elected member of the local authority; or </w:t>
      </w:r>
    </w:p>
    <w:p w14:paraId="3D8BE95F"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 xml:space="preserve">(b) is paid to work at the school for more than 500 hours in any twelve consecutive months. </w:t>
      </w:r>
    </w:p>
    <w:p w14:paraId="3B84B0B6"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(2) A person (“P”) is not disqualified from continuing to hold office as a parent governor because P ceases to be a parent of a registered pupil at the school or to fulfil any of the requirements set out in paragraphs 10 and 11 of Schedule 1 (as the case may be) . </w:t>
      </w:r>
    </w:p>
    <w:p w14:paraId="6C7C0FBB"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6.  A person is disqualified from appointment as a local authority governor if the person is eligible to be a staff governor of the school. </w:t>
      </w:r>
    </w:p>
    <w:p w14:paraId="6E745C10" w14:textId="77777777" w:rsidR="00C25864" w:rsidRDefault="00C25864" w:rsidP="00C25864">
      <w:pPr>
        <w:shd w:val="clear" w:color="auto" w:fill="FFFFFF"/>
        <w:spacing w:after="120" w:line="360" w:lineRule="atLeast"/>
        <w:contextualSpacing/>
        <w:jc w:val="both"/>
        <w:rPr>
          <w:rFonts w:cs="Arial"/>
          <w:color w:val="494949"/>
          <w:sz w:val="20"/>
          <w:lang w:val="en"/>
        </w:rPr>
      </w:pPr>
      <w:proofErr w:type="gramStart"/>
      <w:r>
        <w:rPr>
          <w:rFonts w:cs="Arial"/>
          <w:color w:val="494949"/>
          <w:sz w:val="20"/>
          <w:lang w:val="en"/>
        </w:rPr>
        <w:t>7.  (</w:t>
      </w:r>
      <w:proofErr w:type="gramEnd"/>
      <w:r>
        <w:rPr>
          <w:rFonts w:cs="Arial"/>
          <w:color w:val="494949"/>
          <w:sz w:val="20"/>
          <w:lang w:val="en"/>
        </w:rPr>
        <w:t xml:space="preserve">1)  A person is disqualified from nomination or appointment as a partnership governor of a school if the person is— </w:t>
      </w:r>
    </w:p>
    <w:p w14:paraId="00FCB7A5"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w:t>
      </w:r>
      <w:proofErr w:type="gramStart"/>
      <w:r>
        <w:rPr>
          <w:rFonts w:cs="Arial"/>
          <w:color w:val="494949"/>
          <w:sz w:val="20"/>
          <w:lang w:val="en"/>
        </w:rPr>
        <w:t>a )a</w:t>
      </w:r>
      <w:proofErr w:type="gramEnd"/>
      <w:r>
        <w:rPr>
          <w:rFonts w:cs="Arial"/>
          <w:color w:val="494949"/>
          <w:sz w:val="20"/>
          <w:lang w:val="en"/>
        </w:rPr>
        <w:t xml:space="preserve"> parent of a registered pupil at the school; </w:t>
      </w:r>
    </w:p>
    <w:p w14:paraId="7A1DE2B8"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 xml:space="preserve">(b) eligible to be a staff governor of the school; </w:t>
      </w:r>
    </w:p>
    <w:p w14:paraId="678FAC5F"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 xml:space="preserve">(c) an elected member of the local authority; or </w:t>
      </w:r>
    </w:p>
    <w:p w14:paraId="0DD4A3BD"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 xml:space="preserve">(d) employed by the local authority in connection with their education functions. </w:t>
      </w:r>
    </w:p>
    <w:p w14:paraId="319A3A5D"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(2) The disqualification criterion in paragraph 7(1)(d) does not apply in the case of a person who is employed by a local authority in England under a contract of employment providing for the person to work wholly at a school or schools maintained by the local authority. </w:t>
      </w:r>
    </w:p>
    <w:p w14:paraId="04BDDE2D"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8.  Upon ceasing to work at the school, a staff governor of a school is disqualified from continuing to hold office as such a governor. </w:t>
      </w:r>
    </w:p>
    <w:p w14:paraId="03011667" w14:textId="77777777" w:rsidR="00C25864" w:rsidRDefault="00C25864" w:rsidP="00C25864">
      <w:pPr>
        <w:shd w:val="clear" w:color="auto" w:fill="FFFFFF"/>
        <w:spacing w:after="120" w:line="288" w:lineRule="atLeast"/>
        <w:contextualSpacing/>
        <w:jc w:val="both"/>
        <w:outlineLvl w:val="3"/>
        <w:rPr>
          <w:rFonts w:cs="Arial"/>
          <w:b/>
          <w:bCs/>
          <w:color w:val="000000"/>
          <w:sz w:val="20"/>
          <w:lang w:val="en"/>
        </w:rPr>
      </w:pPr>
      <w:r>
        <w:rPr>
          <w:rFonts w:cs="Arial"/>
          <w:b/>
          <w:bCs/>
          <w:color w:val="000000"/>
          <w:sz w:val="20"/>
          <w:lang w:val="en"/>
        </w:rPr>
        <w:t>Failure to attend meetings</w:t>
      </w:r>
    </w:p>
    <w:p w14:paraId="5BC52DC8" w14:textId="77777777" w:rsidR="00C25864" w:rsidRDefault="00C25864" w:rsidP="00C25864">
      <w:pPr>
        <w:shd w:val="clear" w:color="auto" w:fill="FFFFFF"/>
        <w:spacing w:after="120" w:line="360" w:lineRule="atLeast"/>
        <w:contextualSpacing/>
        <w:jc w:val="both"/>
        <w:rPr>
          <w:rFonts w:cs="Arial"/>
          <w:color w:val="494949"/>
          <w:sz w:val="20"/>
          <w:lang w:val="en"/>
        </w:rPr>
      </w:pPr>
      <w:proofErr w:type="gramStart"/>
      <w:r>
        <w:rPr>
          <w:rFonts w:cs="Arial"/>
          <w:bCs/>
          <w:color w:val="494949"/>
          <w:sz w:val="20"/>
          <w:lang w:val="en"/>
        </w:rPr>
        <w:t>9.</w:t>
      </w:r>
      <w:r>
        <w:rPr>
          <w:rFonts w:cs="Arial"/>
          <w:color w:val="494949"/>
          <w:sz w:val="20"/>
          <w:lang w:val="en"/>
        </w:rPr>
        <w:t>  (</w:t>
      </w:r>
      <w:proofErr w:type="gramEnd"/>
      <w:r>
        <w:rPr>
          <w:rFonts w:cs="Arial"/>
          <w:color w:val="494949"/>
          <w:sz w:val="20"/>
          <w:lang w:val="en"/>
        </w:rPr>
        <w:t xml:space="preserve">1)  This paragraph applies to every governor, other than governors who are governors by virtue of the office that they hold. </w:t>
      </w:r>
    </w:p>
    <w:p w14:paraId="367A2C9F"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(2) A governor who, without the consent of the Governing Board, has failed to attend their meetings for a continuous period of six months beginning with the date of the first such meeting the governor fails to attend, is, on the expiry of that period, disqualified from continuing to hold office as a governor of that school. </w:t>
      </w:r>
    </w:p>
    <w:p w14:paraId="080EADE0"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(3) A foundation governor, authority governor, co-opted governor or partnership governor who has been disqualified as a governor of a school under sub-paragraph (2) is not qualified for election, nomination or </w:t>
      </w:r>
      <w:r>
        <w:rPr>
          <w:rFonts w:cs="Arial"/>
          <w:color w:val="494949"/>
          <w:sz w:val="20"/>
          <w:lang w:val="en"/>
        </w:rPr>
        <w:lastRenderedPageBreak/>
        <w:t xml:space="preserve">appointment as a governor of any category at that school for twelve months starting on the date on which they are so disqualified. </w:t>
      </w:r>
    </w:p>
    <w:p w14:paraId="3631233F" w14:textId="77777777" w:rsidR="00C25864" w:rsidRDefault="00C25864" w:rsidP="00C25864">
      <w:pPr>
        <w:shd w:val="clear" w:color="auto" w:fill="FFFFFF"/>
        <w:spacing w:after="120" w:line="288" w:lineRule="atLeast"/>
        <w:contextualSpacing/>
        <w:jc w:val="both"/>
        <w:outlineLvl w:val="3"/>
        <w:rPr>
          <w:rFonts w:cs="Arial"/>
          <w:b/>
          <w:bCs/>
          <w:color w:val="000000"/>
          <w:sz w:val="20"/>
          <w:lang w:val="en"/>
        </w:rPr>
      </w:pPr>
      <w:r>
        <w:rPr>
          <w:rFonts w:cs="Arial"/>
          <w:b/>
          <w:bCs/>
          <w:color w:val="000000"/>
          <w:sz w:val="20"/>
          <w:lang w:val="en"/>
        </w:rPr>
        <w:t>Bankruptcy</w:t>
      </w:r>
    </w:p>
    <w:p w14:paraId="1621FC8F"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bCs/>
          <w:color w:val="494949"/>
          <w:sz w:val="20"/>
          <w:lang w:val="en"/>
        </w:rPr>
        <w:t>10.</w:t>
      </w:r>
      <w:r>
        <w:rPr>
          <w:rFonts w:cs="Arial"/>
          <w:color w:val="494949"/>
          <w:sz w:val="20"/>
          <w:lang w:val="en"/>
        </w:rPr>
        <w:t xml:space="preserve">  A person is disqualified from holding or continuing to hold office as a governor of a school if— </w:t>
      </w:r>
    </w:p>
    <w:p w14:paraId="30E2B72B"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 xml:space="preserve">(a) the person’s estate has been sequestrated and the sequestration has not been discharged, annulled or reduced; or </w:t>
      </w:r>
    </w:p>
    <w:p w14:paraId="0499AF76"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(b) the person is the subject of a bankruptcy restrictions order, an interim bankruptcy restrictions order(</w:t>
      </w:r>
      <w:hyperlink r:id="rId5" w:anchor="f00017" w:tooltip="Go to footnote 1" w:history="1">
        <w:r>
          <w:rPr>
            <w:rStyle w:val="Hyperlink"/>
            <w:rFonts w:cs="Arial"/>
            <w:b/>
            <w:bCs/>
            <w:color w:val="006699"/>
            <w:sz w:val="20"/>
            <w:lang w:val="en"/>
          </w:rPr>
          <w:t>1</w:t>
        </w:r>
      </w:hyperlink>
      <w:r>
        <w:rPr>
          <w:rFonts w:cs="Arial"/>
          <w:color w:val="494949"/>
          <w:sz w:val="20"/>
          <w:lang w:val="en"/>
        </w:rPr>
        <w:t>), a debt relief restrictions order or an interim debt relief restrictions order(</w:t>
      </w:r>
      <w:hyperlink r:id="rId6" w:anchor="f00018" w:tooltip="Go to footnote 2" w:history="1">
        <w:r>
          <w:rPr>
            <w:rStyle w:val="Hyperlink"/>
            <w:rFonts w:cs="Arial"/>
            <w:b/>
            <w:bCs/>
            <w:color w:val="006699"/>
            <w:sz w:val="20"/>
            <w:lang w:val="en"/>
          </w:rPr>
          <w:t>2</w:t>
        </w:r>
      </w:hyperlink>
      <w:r>
        <w:rPr>
          <w:rFonts w:cs="Arial"/>
          <w:color w:val="494949"/>
          <w:sz w:val="20"/>
          <w:lang w:val="en"/>
        </w:rPr>
        <w:t xml:space="preserve">). </w:t>
      </w:r>
    </w:p>
    <w:p w14:paraId="16ECF63F" w14:textId="77777777" w:rsidR="00C25864" w:rsidRDefault="00C25864" w:rsidP="00C25864">
      <w:pPr>
        <w:shd w:val="clear" w:color="auto" w:fill="FFFFFF"/>
        <w:spacing w:after="120" w:line="288" w:lineRule="atLeast"/>
        <w:contextualSpacing/>
        <w:jc w:val="both"/>
        <w:outlineLvl w:val="3"/>
        <w:rPr>
          <w:rFonts w:cs="Arial"/>
          <w:b/>
          <w:bCs/>
          <w:color w:val="000000"/>
          <w:sz w:val="20"/>
          <w:lang w:val="en"/>
        </w:rPr>
      </w:pPr>
      <w:r>
        <w:rPr>
          <w:rFonts w:cs="Arial"/>
          <w:b/>
          <w:bCs/>
          <w:color w:val="000000"/>
          <w:sz w:val="20"/>
          <w:lang w:val="en"/>
        </w:rPr>
        <w:t>Disqualification of company directors</w:t>
      </w:r>
    </w:p>
    <w:p w14:paraId="1BAF8117"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bCs/>
          <w:color w:val="494949"/>
          <w:sz w:val="20"/>
          <w:lang w:val="en"/>
        </w:rPr>
        <w:t>11.</w:t>
      </w:r>
      <w:r>
        <w:rPr>
          <w:rFonts w:cs="Arial"/>
          <w:color w:val="494949"/>
          <w:sz w:val="20"/>
          <w:lang w:val="en"/>
        </w:rPr>
        <w:t xml:space="preserve">  A person is disqualified from holding, or from continuing to hold, office as a governor of a school at any time when the person is subject to— </w:t>
      </w:r>
    </w:p>
    <w:p w14:paraId="36F81DA8"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(a) a disqualification order or disqualification undertaking under the Company Directors Disqualification Act 1986(</w:t>
      </w:r>
      <w:hyperlink r:id="rId7" w:anchor="f00019" w:tooltip="Go to footnote 3" w:history="1">
        <w:r>
          <w:rPr>
            <w:rStyle w:val="Hyperlink"/>
            <w:rFonts w:cs="Arial"/>
            <w:b/>
            <w:bCs/>
            <w:color w:val="006699"/>
            <w:sz w:val="20"/>
            <w:lang w:val="en"/>
          </w:rPr>
          <w:t>3</w:t>
        </w:r>
      </w:hyperlink>
      <w:r>
        <w:rPr>
          <w:rFonts w:cs="Arial"/>
          <w:color w:val="494949"/>
          <w:sz w:val="20"/>
          <w:lang w:val="en"/>
        </w:rPr>
        <w:t xml:space="preserve">); </w:t>
      </w:r>
    </w:p>
    <w:p w14:paraId="679688C0"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(b) a disqualification order under the Company Directors Disqualification (Northern Ireland) Order 2002(</w:t>
      </w:r>
      <w:hyperlink r:id="rId8" w:anchor="f00020" w:tooltip="Go to footnote 4" w:history="1">
        <w:r>
          <w:rPr>
            <w:rStyle w:val="Hyperlink"/>
            <w:rFonts w:cs="Arial"/>
            <w:b/>
            <w:bCs/>
            <w:color w:val="006699"/>
            <w:sz w:val="20"/>
            <w:lang w:val="en"/>
          </w:rPr>
          <w:t>4</w:t>
        </w:r>
      </w:hyperlink>
      <w:r>
        <w:rPr>
          <w:rFonts w:cs="Arial"/>
          <w:color w:val="494949"/>
          <w:sz w:val="20"/>
          <w:lang w:val="en"/>
        </w:rPr>
        <w:t xml:space="preserve">); </w:t>
      </w:r>
    </w:p>
    <w:p w14:paraId="15091BF9"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 xml:space="preserve">(c) a disqualification undertaking accepted under the Company Directors Disqualification (Northern Ireland) Order 2002; or </w:t>
      </w:r>
    </w:p>
    <w:p w14:paraId="1982DA5A"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(d) an order made under section 429(2)(b) of the Insolvency Act 1986(</w:t>
      </w:r>
      <w:hyperlink r:id="rId9" w:anchor="f00021" w:tooltip="Go to footnote 5" w:history="1">
        <w:r>
          <w:rPr>
            <w:rStyle w:val="Hyperlink"/>
            <w:rFonts w:cs="Arial"/>
            <w:b/>
            <w:bCs/>
            <w:color w:val="006699"/>
            <w:sz w:val="20"/>
            <w:lang w:val="en"/>
          </w:rPr>
          <w:t>5</w:t>
        </w:r>
      </w:hyperlink>
      <w:r>
        <w:rPr>
          <w:rFonts w:cs="Arial"/>
          <w:color w:val="494949"/>
          <w:sz w:val="20"/>
          <w:lang w:val="en"/>
        </w:rPr>
        <w:t xml:space="preserve">) (failure to pay under county court administration order). </w:t>
      </w:r>
    </w:p>
    <w:p w14:paraId="4BFF7FB1" w14:textId="77777777" w:rsidR="00C25864" w:rsidRDefault="00C25864" w:rsidP="00C25864">
      <w:pPr>
        <w:shd w:val="clear" w:color="auto" w:fill="FFFFFF"/>
        <w:spacing w:after="120" w:line="288" w:lineRule="atLeast"/>
        <w:contextualSpacing/>
        <w:jc w:val="both"/>
        <w:outlineLvl w:val="3"/>
        <w:rPr>
          <w:rFonts w:cs="Arial"/>
          <w:b/>
          <w:bCs/>
          <w:color w:val="000000"/>
          <w:sz w:val="20"/>
          <w:lang w:val="en"/>
        </w:rPr>
      </w:pPr>
      <w:r>
        <w:rPr>
          <w:rFonts w:cs="Arial"/>
          <w:b/>
          <w:bCs/>
          <w:color w:val="000000"/>
          <w:sz w:val="20"/>
          <w:lang w:val="en"/>
        </w:rPr>
        <w:t>Disqualification of charity trustees</w:t>
      </w:r>
    </w:p>
    <w:p w14:paraId="23D290B4"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bCs/>
          <w:color w:val="494949"/>
          <w:sz w:val="20"/>
          <w:lang w:val="en"/>
        </w:rPr>
        <w:t>12.</w:t>
      </w:r>
      <w:r>
        <w:rPr>
          <w:rFonts w:cs="Arial"/>
          <w:color w:val="494949"/>
          <w:sz w:val="20"/>
          <w:lang w:val="en"/>
        </w:rPr>
        <w:t xml:space="preserve">  A person is disqualified from holding or from continuing to hold office as a governor of a school if— </w:t>
      </w:r>
    </w:p>
    <w:p w14:paraId="60061657"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 xml:space="preserve">(a) the person (“P”) has been removed from the office of trustee for a charity by an order made by the Charity Commission or Commissioners or the High Court on the grounds of any misconduct or mismanagement in the administration of the charity for which P was responsible or to which P was privy, or to which P contributed or which P facilitated by P’s conduct; or </w:t>
      </w:r>
    </w:p>
    <w:p w14:paraId="6493F659"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(b) the person has been removed, under section 34 of the Charities and Trustee Investment (Scotland) Act 2005(</w:t>
      </w:r>
      <w:hyperlink r:id="rId10" w:anchor="f00022" w:tooltip="Go to footnote 6" w:history="1">
        <w:r>
          <w:rPr>
            <w:rStyle w:val="Hyperlink"/>
            <w:rFonts w:cs="Arial"/>
            <w:b/>
            <w:bCs/>
            <w:color w:val="006699"/>
            <w:sz w:val="20"/>
            <w:lang w:val="en"/>
          </w:rPr>
          <w:t>6</w:t>
        </w:r>
      </w:hyperlink>
      <w:r>
        <w:rPr>
          <w:rFonts w:cs="Arial"/>
          <w:color w:val="494949"/>
          <w:sz w:val="20"/>
          <w:lang w:val="en"/>
        </w:rPr>
        <w:t xml:space="preserve">), from being concerned in the management or control of any body. </w:t>
      </w:r>
    </w:p>
    <w:p w14:paraId="1B5EA002" w14:textId="77777777" w:rsidR="00C25864" w:rsidRDefault="00C25864" w:rsidP="00C25864">
      <w:pPr>
        <w:shd w:val="clear" w:color="auto" w:fill="FFFFFF"/>
        <w:spacing w:after="120" w:line="288" w:lineRule="atLeast"/>
        <w:contextualSpacing/>
        <w:jc w:val="both"/>
        <w:outlineLvl w:val="3"/>
        <w:rPr>
          <w:rFonts w:cs="Arial"/>
          <w:bCs/>
          <w:color w:val="000000"/>
          <w:sz w:val="20"/>
          <w:lang w:val="en"/>
        </w:rPr>
      </w:pPr>
      <w:r>
        <w:rPr>
          <w:rFonts w:cs="Arial"/>
          <w:bCs/>
          <w:color w:val="000000"/>
          <w:sz w:val="20"/>
          <w:lang w:val="en"/>
        </w:rPr>
        <w:t>Persons whose employment is prohibited or restricted</w:t>
      </w:r>
    </w:p>
    <w:p w14:paraId="182D20E1"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bCs/>
          <w:color w:val="494949"/>
          <w:sz w:val="20"/>
          <w:lang w:val="en"/>
        </w:rPr>
        <w:t>13.</w:t>
      </w:r>
      <w:r>
        <w:rPr>
          <w:rFonts w:cs="Arial"/>
          <w:color w:val="494949"/>
          <w:sz w:val="20"/>
          <w:lang w:val="en"/>
        </w:rPr>
        <w:t xml:space="preserve">  A person is disqualified from holding or from continuing to hold office as a governor of a school at any time when the person is— </w:t>
      </w:r>
    </w:p>
    <w:p w14:paraId="16531B67"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(a) included in the list kept under section 1 of the Protection of Children Act 1999(</w:t>
      </w:r>
      <w:hyperlink r:id="rId11" w:anchor="f00023" w:tooltip="Go to footnote 7" w:history="1">
        <w:r>
          <w:rPr>
            <w:rStyle w:val="Hyperlink"/>
            <w:rFonts w:cs="Arial"/>
            <w:b/>
            <w:bCs/>
            <w:color w:val="006699"/>
            <w:sz w:val="20"/>
            <w:lang w:val="en"/>
          </w:rPr>
          <w:t>7</w:t>
        </w:r>
      </w:hyperlink>
      <w:r>
        <w:rPr>
          <w:rFonts w:cs="Arial"/>
          <w:color w:val="494949"/>
          <w:sz w:val="20"/>
          <w:lang w:val="en"/>
        </w:rPr>
        <w:t xml:space="preserve">) (list of those considered by the Secretary of State as unsuitable to work with children); </w:t>
      </w:r>
    </w:p>
    <w:p w14:paraId="0D4EF2B9"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(b) subject to a direction of the Secretary of State under section 142 of EA 2002(</w:t>
      </w:r>
      <w:hyperlink r:id="rId12" w:anchor="f00024" w:tooltip="Go to footnote 8" w:history="1">
        <w:r>
          <w:rPr>
            <w:rStyle w:val="Hyperlink"/>
            <w:rFonts w:cs="Arial"/>
            <w:b/>
            <w:bCs/>
            <w:color w:val="006699"/>
            <w:sz w:val="20"/>
            <w:lang w:val="en"/>
          </w:rPr>
          <w:t>8</w:t>
        </w:r>
      </w:hyperlink>
      <w:r>
        <w:rPr>
          <w:rFonts w:cs="Arial"/>
          <w:color w:val="494949"/>
          <w:sz w:val="20"/>
          <w:lang w:val="en"/>
        </w:rPr>
        <w:t xml:space="preserve">) (or any other disqualification, prohibition or restriction which takes effect as if contained in such a direction); </w:t>
      </w:r>
    </w:p>
    <w:p w14:paraId="28C24E71"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(c) barred from regulated activity relating to children in accordance with section 3(2) of the Safeguarding Vulnerable Groups Act 2006(</w:t>
      </w:r>
      <w:hyperlink r:id="rId13" w:anchor="f00025" w:tooltip="Go to footnote 9" w:history="1">
        <w:r>
          <w:rPr>
            <w:rStyle w:val="Hyperlink"/>
            <w:rFonts w:cs="Arial"/>
            <w:b/>
            <w:bCs/>
            <w:color w:val="006699"/>
            <w:sz w:val="20"/>
            <w:lang w:val="en"/>
          </w:rPr>
          <w:t>9</w:t>
        </w:r>
      </w:hyperlink>
      <w:r>
        <w:rPr>
          <w:rFonts w:cs="Arial"/>
          <w:color w:val="494949"/>
          <w:sz w:val="20"/>
          <w:lang w:val="en"/>
        </w:rPr>
        <w:t xml:space="preserve">); </w:t>
      </w:r>
    </w:p>
    <w:p w14:paraId="41481779"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(d) disqualified from working with children under sections 28, 29 or 29A of the Criminal Justice and Court Services Act 2000(</w:t>
      </w:r>
      <w:hyperlink r:id="rId14" w:anchor="f00026" w:tooltip="Go to footnote 10" w:history="1">
        <w:r>
          <w:rPr>
            <w:rStyle w:val="Hyperlink"/>
            <w:rFonts w:cs="Arial"/>
            <w:b/>
            <w:bCs/>
            <w:color w:val="006699"/>
            <w:sz w:val="20"/>
            <w:lang w:val="en"/>
          </w:rPr>
          <w:t>10</w:t>
        </w:r>
      </w:hyperlink>
      <w:r>
        <w:rPr>
          <w:rFonts w:cs="Arial"/>
          <w:color w:val="494949"/>
          <w:sz w:val="20"/>
          <w:lang w:val="en"/>
        </w:rPr>
        <w:t xml:space="preserve">); </w:t>
      </w:r>
    </w:p>
    <w:p w14:paraId="05B94F4F"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(e) disqualified from registration under Part 2 of the Children and Families (Wales) Measure 2010(</w:t>
      </w:r>
      <w:hyperlink r:id="rId15" w:anchor="f00027" w:tooltip="Go to footnote 11" w:history="1">
        <w:r>
          <w:rPr>
            <w:rStyle w:val="Hyperlink"/>
            <w:rFonts w:cs="Arial"/>
            <w:b/>
            <w:bCs/>
            <w:color w:val="006699"/>
            <w:sz w:val="20"/>
            <w:lang w:val="en"/>
          </w:rPr>
          <w:t>11</w:t>
        </w:r>
      </w:hyperlink>
      <w:r>
        <w:rPr>
          <w:rFonts w:cs="Arial"/>
          <w:color w:val="494949"/>
          <w:sz w:val="20"/>
          <w:lang w:val="en"/>
        </w:rPr>
        <w:t xml:space="preserve">) for child minding or providing day care; or </w:t>
      </w:r>
    </w:p>
    <w:p w14:paraId="31242EB7"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(f) disqualified from registration under Part 3 of the Childcare Act 2006(</w:t>
      </w:r>
      <w:hyperlink r:id="rId16" w:anchor="f00028" w:tooltip="Go to footnote 12" w:history="1">
        <w:r>
          <w:rPr>
            <w:rStyle w:val="Hyperlink"/>
            <w:rFonts w:cs="Arial"/>
            <w:b/>
            <w:bCs/>
            <w:color w:val="006699"/>
            <w:sz w:val="20"/>
            <w:lang w:val="en"/>
          </w:rPr>
          <w:t>12</w:t>
        </w:r>
      </w:hyperlink>
      <w:r>
        <w:rPr>
          <w:rFonts w:cs="Arial"/>
          <w:color w:val="494949"/>
          <w:sz w:val="20"/>
          <w:lang w:val="en"/>
        </w:rPr>
        <w:t xml:space="preserve">). </w:t>
      </w:r>
    </w:p>
    <w:p w14:paraId="5420F1FA" w14:textId="77777777" w:rsidR="00C25864" w:rsidRDefault="00C25864" w:rsidP="00C25864">
      <w:pPr>
        <w:shd w:val="clear" w:color="auto" w:fill="FFFFFF"/>
        <w:spacing w:after="120" w:line="288" w:lineRule="atLeast"/>
        <w:contextualSpacing/>
        <w:jc w:val="both"/>
        <w:outlineLvl w:val="3"/>
        <w:rPr>
          <w:rFonts w:cs="Arial"/>
          <w:b/>
          <w:bCs/>
          <w:color w:val="000000"/>
          <w:sz w:val="20"/>
          <w:lang w:val="en"/>
        </w:rPr>
      </w:pPr>
      <w:r>
        <w:rPr>
          <w:rFonts w:cs="Arial"/>
          <w:b/>
          <w:bCs/>
          <w:color w:val="000000"/>
          <w:sz w:val="20"/>
          <w:lang w:val="en"/>
        </w:rPr>
        <w:t>Criminal convictions</w:t>
      </w:r>
    </w:p>
    <w:p w14:paraId="0EEFF950" w14:textId="77777777" w:rsidR="00C25864" w:rsidRDefault="00C25864" w:rsidP="00C25864">
      <w:pPr>
        <w:shd w:val="clear" w:color="auto" w:fill="FFFFFF"/>
        <w:spacing w:after="120" w:line="360" w:lineRule="atLeast"/>
        <w:contextualSpacing/>
        <w:jc w:val="both"/>
        <w:rPr>
          <w:rFonts w:cs="Arial"/>
          <w:color w:val="494949"/>
          <w:sz w:val="20"/>
          <w:lang w:val="en"/>
        </w:rPr>
      </w:pPr>
      <w:proofErr w:type="gramStart"/>
      <w:r>
        <w:rPr>
          <w:rFonts w:cs="Arial"/>
          <w:bCs/>
          <w:color w:val="494949"/>
          <w:sz w:val="20"/>
          <w:lang w:val="en"/>
        </w:rPr>
        <w:t>14.</w:t>
      </w:r>
      <w:r>
        <w:rPr>
          <w:rFonts w:cs="Arial"/>
          <w:color w:val="494949"/>
          <w:sz w:val="20"/>
          <w:lang w:val="en"/>
        </w:rPr>
        <w:t>  (</w:t>
      </w:r>
      <w:proofErr w:type="gramEnd"/>
      <w:r>
        <w:rPr>
          <w:rFonts w:cs="Arial"/>
          <w:color w:val="494949"/>
          <w:sz w:val="20"/>
          <w:lang w:val="en"/>
        </w:rPr>
        <w:t xml:space="preserve">1)  Subject to sub-paragraph (6) below, a person is disqualified from holding, or continuing to hold, office as a governor of a school where any of sub-paragraphs (2) to (4) or (6) below apply to the person. </w:t>
      </w:r>
    </w:p>
    <w:p w14:paraId="273C1E59"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(2) This sub-paragraph applies to a person (“P”) if— </w:t>
      </w:r>
    </w:p>
    <w:p w14:paraId="4864FD38"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lastRenderedPageBreak/>
        <w:t>(a) within the period of five years ending with the date immediately preceding the date on which P’s appointment or election as governor would otherwise have taken effect or</w:t>
      </w:r>
      <w:proofErr w:type="gramStart"/>
      <w:r>
        <w:rPr>
          <w:rFonts w:cs="Arial"/>
          <w:color w:val="494949"/>
          <w:sz w:val="20"/>
          <w:lang w:val="en"/>
        </w:rPr>
        <w:t>, as the case may be, on</w:t>
      </w:r>
      <w:proofErr w:type="gramEnd"/>
      <w:r>
        <w:rPr>
          <w:rFonts w:cs="Arial"/>
          <w:color w:val="494949"/>
          <w:sz w:val="20"/>
          <w:lang w:val="en"/>
        </w:rPr>
        <w:t xml:space="preserve"> which P would otherwise have become a governor by virtue of an office, or </w:t>
      </w:r>
    </w:p>
    <w:p w14:paraId="655332B8"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(b) since P’s appointment or election as governor or</w:t>
      </w:r>
      <w:proofErr w:type="gramStart"/>
      <w:r>
        <w:rPr>
          <w:rFonts w:cs="Arial"/>
          <w:color w:val="494949"/>
          <w:sz w:val="20"/>
          <w:lang w:val="en"/>
        </w:rPr>
        <w:t>, as the case may be, since</w:t>
      </w:r>
      <w:proofErr w:type="gramEnd"/>
      <w:r>
        <w:rPr>
          <w:rFonts w:cs="Arial"/>
          <w:color w:val="494949"/>
          <w:sz w:val="20"/>
          <w:lang w:val="en"/>
        </w:rPr>
        <w:t xml:space="preserve"> P became a governor by virtue of an office, </w:t>
      </w:r>
    </w:p>
    <w:p w14:paraId="43CDB3D4"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P has been convicted, whether in the United Kingdom or elsewhere, of any offence and a sentence of imprisonment (whether suspended or not) has been imposed on P for a period of not less than three months without the option of a fine. </w:t>
      </w:r>
    </w:p>
    <w:p w14:paraId="4578B6F0"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(3) This sub-paragraph applies to a person (“Q”) if within the period of 20 years ending with the date immediately preceding the date on which Q’s appointment or election as governor would otherwise have taken effect or, as the case may be, on which Q would otherwise have become a governor by virtue of an office, Q has been convicted of any offence and a sentence of imprisonment has been imposed on Q for a period of not less than two and a half years. </w:t>
      </w:r>
    </w:p>
    <w:p w14:paraId="430EF6BF"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(4) This sub-paragraph applies to a person who has at any time been convicted as aforesaid of any offence and a sentence of imprisonment has been imposed on the person for a period of not less than five years. </w:t>
      </w:r>
    </w:p>
    <w:p w14:paraId="301CC3E5"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(5) For the purposes of sub-paragraphs (2) to (4) above, any conviction by or before a court outside the United Kingdom of an offence which, if the facts giving rise to the offence had taken place in any part of the United Kingdom, would not have constituted an offence under the law in force in that part of the United Kingdom must be disregarded. </w:t>
      </w:r>
    </w:p>
    <w:p w14:paraId="5A93FF1B"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 xml:space="preserve">(6) This sub-paragraph applies to a person (“R”) if— </w:t>
      </w:r>
    </w:p>
    <w:p w14:paraId="7AAEA39E"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(a) within the period of five years ending with the date immediately preceding the date on which R’s appointment or election as governor would otherwise have taken effect or</w:t>
      </w:r>
      <w:proofErr w:type="gramStart"/>
      <w:r>
        <w:rPr>
          <w:rFonts w:cs="Arial"/>
          <w:color w:val="494949"/>
          <w:sz w:val="20"/>
          <w:lang w:val="en"/>
        </w:rPr>
        <w:t>, as the case may be, on</w:t>
      </w:r>
      <w:proofErr w:type="gramEnd"/>
      <w:r>
        <w:rPr>
          <w:rFonts w:cs="Arial"/>
          <w:color w:val="494949"/>
          <w:sz w:val="20"/>
          <w:lang w:val="en"/>
        </w:rPr>
        <w:t xml:space="preserve"> which R would otherwise have become a governor by virtue of an office, or </w:t>
      </w:r>
    </w:p>
    <w:p w14:paraId="18C7EB6C" w14:textId="77777777" w:rsidR="00C25864" w:rsidRDefault="00C25864" w:rsidP="00C25864">
      <w:pPr>
        <w:shd w:val="clear" w:color="auto" w:fill="FFFFFF"/>
        <w:spacing w:after="120" w:line="360" w:lineRule="atLeast"/>
        <w:contextualSpacing/>
        <w:rPr>
          <w:rFonts w:cs="Arial"/>
          <w:color w:val="494949"/>
          <w:sz w:val="20"/>
          <w:lang w:val="en"/>
        </w:rPr>
      </w:pPr>
      <w:r>
        <w:rPr>
          <w:rFonts w:cs="Arial"/>
          <w:color w:val="494949"/>
          <w:sz w:val="20"/>
          <w:lang w:val="en"/>
        </w:rPr>
        <w:t>(b) since R’s appointment or election as governor or</w:t>
      </w:r>
      <w:proofErr w:type="gramStart"/>
      <w:r>
        <w:rPr>
          <w:rFonts w:cs="Arial"/>
          <w:color w:val="494949"/>
          <w:sz w:val="20"/>
          <w:lang w:val="en"/>
        </w:rPr>
        <w:t>, as the case may be, since</w:t>
      </w:r>
      <w:proofErr w:type="gramEnd"/>
      <w:r>
        <w:rPr>
          <w:rFonts w:cs="Arial"/>
          <w:color w:val="494949"/>
          <w:sz w:val="20"/>
          <w:lang w:val="en"/>
        </w:rPr>
        <w:t xml:space="preserve"> R became a governor by virtue of an office, </w:t>
      </w:r>
    </w:p>
    <w:p w14:paraId="489F4E00"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color w:val="494949"/>
          <w:sz w:val="20"/>
          <w:lang w:val="en"/>
        </w:rPr>
        <w:t>R has been convicted under section 547 of EA 1996(</w:t>
      </w:r>
      <w:hyperlink r:id="rId17" w:anchor="f00029" w:tooltip="Go to footnote 13" w:history="1">
        <w:r>
          <w:rPr>
            <w:rStyle w:val="Hyperlink"/>
            <w:rFonts w:cs="Arial"/>
            <w:b/>
            <w:bCs/>
            <w:color w:val="006699"/>
            <w:sz w:val="20"/>
            <w:lang w:val="en"/>
          </w:rPr>
          <w:t>13</w:t>
        </w:r>
      </w:hyperlink>
      <w:r>
        <w:rPr>
          <w:rFonts w:cs="Arial"/>
          <w:color w:val="494949"/>
          <w:sz w:val="20"/>
          <w:lang w:val="en"/>
        </w:rPr>
        <w:t>) (nuisance or disturbance on school premises) or under section 85A of the Further and Higher Education Act 1992(</w:t>
      </w:r>
      <w:hyperlink r:id="rId18" w:anchor="f00030" w:tooltip="Go to footnote 14" w:history="1">
        <w:r>
          <w:rPr>
            <w:rStyle w:val="Hyperlink"/>
            <w:rFonts w:cs="Arial"/>
            <w:b/>
            <w:bCs/>
            <w:color w:val="006699"/>
            <w:sz w:val="20"/>
            <w:lang w:val="en"/>
          </w:rPr>
          <w:t>14</w:t>
        </w:r>
      </w:hyperlink>
      <w:r>
        <w:rPr>
          <w:rFonts w:cs="Arial"/>
          <w:color w:val="494949"/>
          <w:sz w:val="20"/>
          <w:lang w:val="en"/>
        </w:rPr>
        <w:t xml:space="preserve">) (nuisance or disturbance on educational premises) of an offence and has been sentenced to a fine. </w:t>
      </w:r>
    </w:p>
    <w:p w14:paraId="22801F95" w14:textId="77777777" w:rsidR="00C25864" w:rsidRDefault="00C25864" w:rsidP="00C25864">
      <w:pPr>
        <w:shd w:val="clear" w:color="auto" w:fill="FFFFFF"/>
        <w:spacing w:after="120" w:line="288" w:lineRule="atLeast"/>
        <w:contextualSpacing/>
        <w:jc w:val="both"/>
        <w:outlineLvl w:val="3"/>
        <w:rPr>
          <w:rFonts w:cs="Arial"/>
          <w:b/>
          <w:bCs/>
          <w:color w:val="000000"/>
          <w:sz w:val="20"/>
          <w:lang w:val="en"/>
        </w:rPr>
      </w:pPr>
      <w:r>
        <w:rPr>
          <w:rFonts w:cs="Arial"/>
          <w:b/>
          <w:bCs/>
          <w:color w:val="000000"/>
          <w:sz w:val="20"/>
          <w:lang w:val="en"/>
        </w:rPr>
        <w:t>Refusal to make an application for a criminal records certificate</w:t>
      </w:r>
    </w:p>
    <w:p w14:paraId="284858D8"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bCs/>
          <w:color w:val="494949"/>
          <w:sz w:val="20"/>
          <w:lang w:val="en"/>
        </w:rPr>
        <w:t>15.</w:t>
      </w:r>
      <w:r>
        <w:rPr>
          <w:rFonts w:cs="Arial"/>
          <w:color w:val="494949"/>
          <w:sz w:val="20"/>
          <w:lang w:val="en"/>
        </w:rPr>
        <w:t>  A person is disqualified from holding or continuing to hold office as a governor at any time when the person refuses a request by the clerk to the Governing Board to make an application under section 113B of the Police Act 1997(</w:t>
      </w:r>
      <w:hyperlink r:id="rId19" w:anchor="f00031" w:tooltip="Go to footnote 15" w:history="1">
        <w:r>
          <w:rPr>
            <w:rStyle w:val="Hyperlink"/>
            <w:rFonts w:cs="Arial"/>
            <w:b/>
            <w:bCs/>
            <w:color w:val="006699"/>
            <w:sz w:val="20"/>
            <w:lang w:val="en"/>
          </w:rPr>
          <w:t>15</w:t>
        </w:r>
      </w:hyperlink>
      <w:r>
        <w:rPr>
          <w:rFonts w:cs="Arial"/>
          <w:color w:val="494949"/>
          <w:sz w:val="20"/>
          <w:lang w:val="en"/>
        </w:rPr>
        <w:t xml:space="preserve">) for a criminal records certificate. </w:t>
      </w:r>
    </w:p>
    <w:p w14:paraId="7A851568" w14:textId="77777777" w:rsidR="00C25864" w:rsidRDefault="00C25864" w:rsidP="00C25864">
      <w:pPr>
        <w:shd w:val="clear" w:color="auto" w:fill="FFFFFF"/>
        <w:spacing w:after="120" w:line="288" w:lineRule="atLeast"/>
        <w:contextualSpacing/>
        <w:jc w:val="both"/>
        <w:outlineLvl w:val="3"/>
        <w:rPr>
          <w:rFonts w:cs="Arial"/>
          <w:b/>
          <w:bCs/>
          <w:color w:val="000000"/>
          <w:sz w:val="20"/>
          <w:lang w:val="en"/>
        </w:rPr>
      </w:pPr>
      <w:r>
        <w:rPr>
          <w:rFonts w:cs="Arial"/>
          <w:b/>
          <w:bCs/>
          <w:color w:val="000000"/>
          <w:sz w:val="20"/>
          <w:lang w:val="en"/>
        </w:rPr>
        <w:t>Notification to clerk</w:t>
      </w:r>
    </w:p>
    <w:p w14:paraId="5E9326CC" w14:textId="77777777" w:rsidR="00C25864" w:rsidRDefault="00C25864" w:rsidP="00C25864">
      <w:pPr>
        <w:shd w:val="clear" w:color="auto" w:fill="FFFFFF"/>
        <w:spacing w:after="120" w:line="360" w:lineRule="atLeast"/>
        <w:contextualSpacing/>
        <w:jc w:val="both"/>
        <w:rPr>
          <w:rFonts w:cs="Arial"/>
          <w:color w:val="494949"/>
          <w:sz w:val="20"/>
          <w:lang w:val="en"/>
        </w:rPr>
      </w:pPr>
      <w:r>
        <w:rPr>
          <w:rFonts w:cs="Arial"/>
          <w:bCs/>
          <w:color w:val="494949"/>
          <w:sz w:val="20"/>
          <w:lang w:val="en"/>
        </w:rPr>
        <w:t>16.</w:t>
      </w:r>
      <w:r>
        <w:rPr>
          <w:rFonts w:cs="Arial"/>
          <w:color w:val="494949"/>
          <w:sz w:val="20"/>
          <w:lang w:val="en"/>
        </w:rPr>
        <w:t xml:space="preserve">  Where a person (“P”) is, or is proposed to become, a governor and by virtue of any of paragraphs 10 to 14 P is disqualified from holding, or from continuing to hold, office as a governor, P must give notice of that fact to the clerk to the Governing Board. </w:t>
      </w:r>
    </w:p>
    <w:p w14:paraId="4E444F3A"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1</w:t>
      </w:r>
      <w:r>
        <w:rPr>
          <w:rFonts w:cs="Arial"/>
          <w:color w:val="000000"/>
          <w:sz w:val="20"/>
          <w:lang w:val="en"/>
        </w:rPr>
        <w:t xml:space="preserve">) </w:t>
      </w:r>
      <w:r>
        <w:rPr>
          <w:rFonts w:cs="Arial"/>
          <w:color w:val="494949"/>
          <w:sz w:val="20"/>
          <w:lang w:val="en"/>
        </w:rPr>
        <w:t xml:space="preserve">“Bankruptcy restrictions order” means an order made under paragraph 1 of Schedule 4A to the Insolvency Act </w:t>
      </w:r>
      <w:hyperlink r:id="rId20" w:tooltip="Go to item of legislation" w:history="1">
        <w:r>
          <w:rPr>
            <w:rStyle w:val="Hyperlink"/>
            <w:rFonts w:cs="Arial"/>
            <w:color w:val="006699"/>
            <w:sz w:val="20"/>
            <w:lang w:val="en"/>
          </w:rPr>
          <w:t>1986 (c. 45)</w:t>
        </w:r>
      </w:hyperlink>
      <w:r>
        <w:rPr>
          <w:rFonts w:cs="Arial"/>
          <w:color w:val="494949"/>
          <w:sz w:val="20"/>
          <w:lang w:val="en"/>
        </w:rPr>
        <w:t xml:space="preserve"> and “interim bankruptcy restrictions order” means an order made under paragraph 5 of that Schedule. Schedule 4A was inserted by Schedule 20 to the Enterprise Act </w:t>
      </w:r>
      <w:hyperlink r:id="rId21" w:tooltip="Go to item of legislation" w:history="1">
        <w:r>
          <w:rPr>
            <w:rStyle w:val="Hyperlink"/>
            <w:rFonts w:cs="Arial"/>
            <w:color w:val="006699"/>
            <w:sz w:val="20"/>
            <w:lang w:val="en"/>
          </w:rPr>
          <w:t>2002 (c. 40)</w:t>
        </w:r>
      </w:hyperlink>
      <w:r>
        <w:rPr>
          <w:rFonts w:cs="Arial"/>
          <w:color w:val="494949"/>
          <w:sz w:val="20"/>
          <w:lang w:val="en"/>
        </w:rPr>
        <w:t xml:space="preserve">. </w:t>
      </w:r>
    </w:p>
    <w:p w14:paraId="2DA04C39"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2</w:t>
      </w:r>
      <w:r>
        <w:rPr>
          <w:rFonts w:cs="Arial"/>
          <w:color w:val="000000"/>
          <w:sz w:val="20"/>
          <w:lang w:val="en"/>
        </w:rPr>
        <w:t xml:space="preserve">) </w:t>
      </w:r>
      <w:r>
        <w:rPr>
          <w:rFonts w:cs="Arial"/>
          <w:color w:val="494949"/>
          <w:sz w:val="20"/>
          <w:lang w:val="en"/>
        </w:rPr>
        <w:t xml:space="preserve">“Debt relief order” means an order made under paragraph 1 of Schedule 4ZB to the Insolvency Act </w:t>
      </w:r>
      <w:hyperlink r:id="rId22" w:tooltip="Go to item of legislation" w:history="1">
        <w:r>
          <w:rPr>
            <w:rStyle w:val="Hyperlink"/>
            <w:rFonts w:cs="Arial"/>
            <w:color w:val="006699"/>
            <w:sz w:val="20"/>
            <w:lang w:val="en"/>
          </w:rPr>
          <w:t>1986 (c. 45)</w:t>
        </w:r>
      </w:hyperlink>
      <w:r>
        <w:rPr>
          <w:rFonts w:cs="Arial"/>
          <w:color w:val="494949"/>
          <w:sz w:val="20"/>
          <w:lang w:val="en"/>
        </w:rPr>
        <w:t xml:space="preserve"> and “interim debt relief order” means an order made under paragraph 5 of that Schedule. Schedule 4ZB was inserted by Schedule 19 to the Tribunals, Courts and Enforcement Act </w:t>
      </w:r>
      <w:hyperlink r:id="rId23" w:tooltip="Go to item of legislation" w:history="1">
        <w:r>
          <w:rPr>
            <w:rStyle w:val="Hyperlink"/>
            <w:rFonts w:cs="Arial"/>
            <w:color w:val="006699"/>
            <w:sz w:val="20"/>
            <w:lang w:val="en"/>
          </w:rPr>
          <w:t>2007 (c. 15)</w:t>
        </w:r>
      </w:hyperlink>
      <w:r>
        <w:rPr>
          <w:rFonts w:cs="Arial"/>
          <w:color w:val="494949"/>
          <w:sz w:val="20"/>
          <w:lang w:val="en"/>
        </w:rPr>
        <w:t xml:space="preserve">. </w:t>
      </w:r>
    </w:p>
    <w:p w14:paraId="7998EC9D"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3</w:t>
      </w:r>
      <w:r>
        <w:rPr>
          <w:rFonts w:cs="Arial"/>
          <w:color w:val="000000"/>
          <w:sz w:val="20"/>
          <w:lang w:val="en"/>
        </w:rPr>
        <w:t xml:space="preserve">) </w:t>
      </w:r>
      <w:hyperlink r:id="rId24" w:tooltip="Go to item of legislation" w:history="1">
        <w:r>
          <w:rPr>
            <w:rStyle w:val="Hyperlink"/>
            <w:rFonts w:cs="Arial"/>
            <w:color w:val="006699"/>
            <w:sz w:val="20"/>
            <w:lang w:val="en"/>
          </w:rPr>
          <w:t>1986 c.46</w:t>
        </w:r>
      </w:hyperlink>
      <w:r>
        <w:rPr>
          <w:rFonts w:cs="Arial"/>
          <w:color w:val="494949"/>
          <w:sz w:val="20"/>
          <w:lang w:val="en"/>
        </w:rPr>
        <w:t xml:space="preserve">. </w:t>
      </w:r>
    </w:p>
    <w:p w14:paraId="7ABA2EEE"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lastRenderedPageBreak/>
        <w:t>(</w:t>
      </w:r>
      <w:r>
        <w:rPr>
          <w:rFonts w:cs="Arial"/>
          <w:bCs/>
          <w:color w:val="000000"/>
          <w:sz w:val="20"/>
          <w:lang w:val="en"/>
        </w:rPr>
        <w:t>4</w:t>
      </w:r>
      <w:r>
        <w:rPr>
          <w:rFonts w:cs="Arial"/>
          <w:color w:val="000000"/>
          <w:sz w:val="20"/>
          <w:lang w:val="en"/>
        </w:rPr>
        <w:t xml:space="preserve">) </w:t>
      </w:r>
      <w:hyperlink r:id="rId25" w:tooltip="Go to item of legislation" w:history="1">
        <w:r>
          <w:rPr>
            <w:rStyle w:val="Hyperlink"/>
            <w:rFonts w:cs="Arial"/>
            <w:color w:val="006699"/>
            <w:sz w:val="20"/>
            <w:lang w:val="en"/>
          </w:rPr>
          <w:t>S.I. 2002/3150 (N.I. 4)</w:t>
        </w:r>
      </w:hyperlink>
      <w:r>
        <w:rPr>
          <w:rFonts w:cs="Arial"/>
          <w:color w:val="494949"/>
          <w:sz w:val="20"/>
          <w:lang w:val="en"/>
        </w:rPr>
        <w:t xml:space="preserve">, as amended by the Companies Act </w:t>
      </w:r>
      <w:hyperlink r:id="rId26" w:tooltip="Go to item of legislation" w:history="1">
        <w:r>
          <w:rPr>
            <w:rStyle w:val="Hyperlink"/>
            <w:rFonts w:cs="Arial"/>
            <w:color w:val="006699"/>
            <w:sz w:val="20"/>
            <w:lang w:val="en"/>
          </w:rPr>
          <w:t>2006 (c.46)</w:t>
        </w:r>
      </w:hyperlink>
      <w:r>
        <w:rPr>
          <w:rFonts w:cs="Arial"/>
          <w:color w:val="494949"/>
          <w:sz w:val="20"/>
          <w:lang w:val="en"/>
        </w:rPr>
        <w:t xml:space="preserve">, the Banking Act </w:t>
      </w:r>
      <w:hyperlink r:id="rId27" w:tooltip="Go to item of legislation" w:history="1">
        <w:r>
          <w:rPr>
            <w:rStyle w:val="Hyperlink"/>
            <w:rFonts w:cs="Arial"/>
            <w:color w:val="006699"/>
            <w:sz w:val="20"/>
            <w:lang w:val="en"/>
          </w:rPr>
          <w:t>2009 (c.1)</w:t>
        </w:r>
      </w:hyperlink>
      <w:r>
        <w:rPr>
          <w:rFonts w:cs="Arial"/>
          <w:color w:val="494949"/>
          <w:sz w:val="20"/>
          <w:lang w:val="en"/>
        </w:rPr>
        <w:t xml:space="preserve">, the Debt Relief Act (Northern Ireland) </w:t>
      </w:r>
      <w:hyperlink r:id="rId28" w:tooltip="Go to item of legislation" w:history="1">
        <w:r>
          <w:rPr>
            <w:rStyle w:val="Hyperlink"/>
            <w:rFonts w:cs="Arial"/>
            <w:color w:val="006699"/>
            <w:sz w:val="20"/>
            <w:lang w:val="en"/>
          </w:rPr>
          <w:t>2010 (c.16)</w:t>
        </w:r>
      </w:hyperlink>
      <w:r>
        <w:rPr>
          <w:rFonts w:cs="Arial"/>
          <w:color w:val="494949"/>
          <w:sz w:val="20"/>
          <w:lang w:val="en"/>
        </w:rPr>
        <w:t xml:space="preserve"> and by </w:t>
      </w:r>
      <w:hyperlink r:id="rId29" w:tooltip="Go to item of legislation" w:history="1">
        <w:r>
          <w:rPr>
            <w:rStyle w:val="Hyperlink"/>
            <w:rFonts w:cs="Arial"/>
            <w:color w:val="006699"/>
            <w:sz w:val="20"/>
            <w:lang w:val="en"/>
          </w:rPr>
          <w:t>S.I. 2005/1454 (N.I.9)</w:t>
        </w:r>
      </w:hyperlink>
      <w:r>
        <w:rPr>
          <w:rFonts w:cs="Arial"/>
          <w:color w:val="494949"/>
          <w:sz w:val="20"/>
          <w:lang w:val="en"/>
        </w:rPr>
        <w:t xml:space="preserve">, </w:t>
      </w:r>
      <w:hyperlink r:id="rId30" w:tooltip="Go to item of legislation" w:history="1">
        <w:r>
          <w:rPr>
            <w:rStyle w:val="Hyperlink"/>
            <w:rFonts w:cs="Arial"/>
            <w:color w:val="006699"/>
            <w:sz w:val="20"/>
            <w:lang w:val="en"/>
          </w:rPr>
          <w:t>2005/1455 (N.I.10)</w:t>
        </w:r>
      </w:hyperlink>
      <w:r>
        <w:rPr>
          <w:rFonts w:cs="Arial"/>
          <w:color w:val="494949"/>
          <w:sz w:val="20"/>
          <w:lang w:val="en"/>
        </w:rPr>
        <w:t xml:space="preserve">, </w:t>
      </w:r>
      <w:hyperlink r:id="rId31" w:tooltip="Go to item of legislation" w:history="1">
        <w:r>
          <w:rPr>
            <w:rStyle w:val="Hyperlink"/>
            <w:rFonts w:cs="Arial"/>
            <w:color w:val="006699"/>
            <w:sz w:val="20"/>
            <w:lang w:val="en"/>
          </w:rPr>
          <w:t>2005/1967 (N.I.17)</w:t>
        </w:r>
      </w:hyperlink>
      <w:r>
        <w:rPr>
          <w:rFonts w:cs="Arial"/>
          <w:color w:val="494949"/>
          <w:sz w:val="20"/>
          <w:lang w:val="en"/>
        </w:rPr>
        <w:t xml:space="preserve">, </w:t>
      </w:r>
      <w:hyperlink r:id="rId32" w:tooltip="Go to item of legislation" w:history="1">
        <w:r>
          <w:rPr>
            <w:rStyle w:val="Hyperlink"/>
            <w:rFonts w:cs="Arial"/>
            <w:color w:val="006699"/>
            <w:sz w:val="20"/>
            <w:lang w:val="en"/>
          </w:rPr>
          <w:t>2006/314 (N.I.3)</w:t>
        </w:r>
      </w:hyperlink>
      <w:r>
        <w:rPr>
          <w:rFonts w:cs="Arial"/>
          <w:color w:val="494949"/>
          <w:sz w:val="20"/>
          <w:lang w:val="en"/>
        </w:rPr>
        <w:t xml:space="preserve">, </w:t>
      </w:r>
      <w:hyperlink r:id="rId33" w:tooltip="Go to item of legislation" w:history="1">
        <w:r>
          <w:rPr>
            <w:rStyle w:val="Hyperlink"/>
            <w:rFonts w:cs="Arial"/>
            <w:color w:val="006699"/>
            <w:sz w:val="20"/>
            <w:lang w:val="en"/>
          </w:rPr>
          <w:t>2006/3336 (N.I.21)</w:t>
        </w:r>
      </w:hyperlink>
      <w:r>
        <w:rPr>
          <w:rFonts w:cs="Arial"/>
          <w:color w:val="494949"/>
          <w:sz w:val="20"/>
          <w:lang w:val="en"/>
        </w:rPr>
        <w:t xml:space="preserve">, </w:t>
      </w:r>
      <w:hyperlink r:id="rId34" w:tooltip="Go to item of legislation" w:history="1">
        <w:r>
          <w:rPr>
            <w:rStyle w:val="Hyperlink"/>
            <w:rFonts w:cs="Arial"/>
            <w:color w:val="006699"/>
            <w:sz w:val="20"/>
            <w:lang w:val="en"/>
          </w:rPr>
          <w:t>2007/2194</w:t>
        </w:r>
      </w:hyperlink>
      <w:r>
        <w:rPr>
          <w:rFonts w:cs="Arial"/>
          <w:color w:val="494949"/>
          <w:sz w:val="20"/>
          <w:lang w:val="en"/>
        </w:rPr>
        <w:t xml:space="preserve">, </w:t>
      </w:r>
      <w:hyperlink r:id="rId35" w:tooltip="Go to item of legislation" w:history="1">
        <w:r>
          <w:rPr>
            <w:rStyle w:val="Hyperlink"/>
            <w:rFonts w:cs="Arial"/>
            <w:color w:val="006699"/>
            <w:sz w:val="20"/>
            <w:lang w:val="en"/>
          </w:rPr>
          <w:t>2008/948</w:t>
        </w:r>
      </w:hyperlink>
      <w:r>
        <w:rPr>
          <w:rFonts w:cs="Arial"/>
          <w:color w:val="494949"/>
          <w:sz w:val="20"/>
          <w:lang w:val="en"/>
        </w:rPr>
        <w:t xml:space="preserve">, </w:t>
      </w:r>
      <w:hyperlink r:id="rId36" w:tooltip="Go to item of legislation" w:history="1">
        <w:r>
          <w:rPr>
            <w:rStyle w:val="Hyperlink"/>
            <w:rFonts w:cs="Arial"/>
            <w:color w:val="006699"/>
            <w:sz w:val="20"/>
            <w:lang w:val="en"/>
          </w:rPr>
          <w:t>2009/805</w:t>
        </w:r>
      </w:hyperlink>
      <w:r>
        <w:rPr>
          <w:rFonts w:cs="Arial"/>
          <w:color w:val="494949"/>
          <w:sz w:val="20"/>
          <w:lang w:val="en"/>
        </w:rPr>
        <w:t xml:space="preserve"> and </w:t>
      </w:r>
      <w:hyperlink r:id="rId37" w:tooltip="Go to item of legislation" w:history="1">
        <w:r>
          <w:rPr>
            <w:rStyle w:val="Hyperlink"/>
            <w:rFonts w:cs="Arial"/>
            <w:color w:val="006699"/>
            <w:sz w:val="20"/>
            <w:lang w:val="en"/>
          </w:rPr>
          <w:t>2009/1941</w:t>
        </w:r>
      </w:hyperlink>
      <w:r>
        <w:rPr>
          <w:rFonts w:cs="Arial"/>
          <w:color w:val="494949"/>
          <w:sz w:val="20"/>
          <w:lang w:val="en"/>
        </w:rPr>
        <w:t xml:space="preserve">. </w:t>
      </w:r>
    </w:p>
    <w:p w14:paraId="53A74FE1"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5</w:t>
      </w:r>
      <w:r>
        <w:rPr>
          <w:rFonts w:cs="Arial"/>
          <w:color w:val="000000"/>
          <w:sz w:val="20"/>
          <w:lang w:val="en"/>
        </w:rPr>
        <w:t xml:space="preserve">) </w:t>
      </w:r>
      <w:hyperlink r:id="rId38" w:tooltip="Go to item of legislation" w:history="1">
        <w:r>
          <w:rPr>
            <w:rStyle w:val="Hyperlink"/>
            <w:rFonts w:cs="Arial"/>
            <w:color w:val="006699"/>
            <w:sz w:val="20"/>
            <w:lang w:val="en"/>
          </w:rPr>
          <w:t>1986 c.45</w:t>
        </w:r>
      </w:hyperlink>
      <w:r>
        <w:rPr>
          <w:rFonts w:cs="Arial"/>
          <w:color w:val="494949"/>
          <w:sz w:val="20"/>
          <w:lang w:val="en"/>
        </w:rPr>
        <w:t xml:space="preserve">. Section 429(2) is repealed and substituted by section 106 of and Schedule 16 to the Tribunals, Courts and Enforcement Act </w:t>
      </w:r>
      <w:hyperlink r:id="rId39" w:tooltip="Go to item of legislation" w:history="1">
        <w:r>
          <w:rPr>
            <w:rStyle w:val="Hyperlink"/>
            <w:rFonts w:cs="Arial"/>
            <w:color w:val="006699"/>
            <w:sz w:val="20"/>
            <w:lang w:val="en"/>
          </w:rPr>
          <w:t>2007 (c.15)</w:t>
        </w:r>
      </w:hyperlink>
      <w:r>
        <w:rPr>
          <w:rFonts w:cs="Arial"/>
          <w:color w:val="494949"/>
          <w:sz w:val="20"/>
          <w:lang w:val="en"/>
        </w:rPr>
        <w:t xml:space="preserve">, which are not yet in force. </w:t>
      </w:r>
    </w:p>
    <w:p w14:paraId="54B04879"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6</w:t>
      </w:r>
      <w:r>
        <w:rPr>
          <w:rFonts w:cs="Arial"/>
          <w:color w:val="000000"/>
          <w:sz w:val="20"/>
          <w:lang w:val="en"/>
        </w:rPr>
        <w:t xml:space="preserve">) </w:t>
      </w:r>
      <w:hyperlink r:id="rId40" w:tooltip="Go to item of legislation" w:history="1">
        <w:r>
          <w:rPr>
            <w:rStyle w:val="Hyperlink"/>
            <w:rFonts w:cs="Arial"/>
            <w:color w:val="006699"/>
            <w:sz w:val="20"/>
            <w:lang w:val="en"/>
          </w:rPr>
          <w:t>2005 asp 10</w:t>
        </w:r>
      </w:hyperlink>
      <w:r>
        <w:rPr>
          <w:rFonts w:cs="Arial"/>
          <w:color w:val="494949"/>
          <w:sz w:val="20"/>
          <w:lang w:val="en"/>
        </w:rPr>
        <w:t xml:space="preserve">. </w:t>
      </w:r>
    </w:p>
    <w:p w14:paraId="09D92CB7"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7</w:t>
      </w:r>
      <w:r>
        <w:rPr>
          <w:rFonts w:cs="Arial"/>
          <w:color w:val="000000"/>
          <w:sz w:val="20"/>
          <w:lang w:val="en"/>
        </w:rPr>
        <w:t xml:space="preserve">) </w:t>
      </w:r>
      <w:hyperlink r:id="rId41" w:tooltip="Go to item of legislation" w:history="1">
        <w:r>
          <w:rPr>
            <w:rStyle w:val="Hyperlink"/>
            <w:rFonts w:cs="Arial"/>
            <w:color w:val="006699"/>
            <w:sz w:val="20"/>
            <w:lang w:val="en"/>
          </w:rPr>
          <w:t>1999 c.14</w:t>
        </w:r>
      </w:hyperlink>
      <w:r>
        <w:rPr>
          <w:rFonts w:cs="Arial"/>
          <w:color w:val="494949"/>
          <w:sz w:val="20"/>
          <w:lang w:val="en"/>
        </w:rPr>
        <w:t>, as amended by the Care Standards Act 2000 (</w:t>
      </w:r>
      <w:hyperlink r:id="rId42" w:tooltip="Go to item of legislation" w:history="1">
        <w:r>
          <w:rPr>
            <w:rStyle w:val="Hyperlink"/>
            <w:rFonts w:cs="Arial"/>
            <w:color w:val="006699"/>
            <w:sz w:val="20"/>
            <w:lang w:val="en"/>
          </w:rPr>
          <w:t>2000 c.14</w:t>
        </w:r>
      </w:hyperlink>
      <w:r>
        <w:rPr>
          <w:rFonts w:cs="Arial"/>
          <w:color w:val="494949"/>
          <w:sz w:val="20"/>
          <w:lang w:val="en"/>
        </w:rPr>
        <w:t xml:space="preserve">). Section 1 is repealed by section 63 of and Schedules 9 and 10 to the Safeguarding Vulnerable Groups Act </w:t>
      </w:r>
      <w:hyperlink r:id="rId43" w:tooltip="Go to item of legislation" w:history="1">
        <w:r>
          <w:rPr>
            <w:rStyle w:val="Hyperlink"/>
            <w:rFonts w:cs="Arial"/>
            <w:color w:val="006699"/>
            <w:sz w:val="20"/>
            <w:lang w:val="en"/>
          </w:rPr>
          <w:t>2006 (c.47)</w:t>
        </w:r>
      </w:hyperlink>
      <w:r>
        <w:rPr>
          <w:rFonts w:cs="Arial"/>
          <w:color w:val="494949"/>
          <w:sz w:val="20"/>
          <w:lang w:val="en"/>
        </w:rPr>
        <w:t xml:space="preserve"> save as provided by </w:t>
      </w:r>
      <w:hyperlink r:id="rId44" w:tooltip="Go to item of legislation" w:history="1">
        <w:r>
          <w:rPr>
            <w:rStyle w:val="Hyperlink"/>
            <w:rFonts w:cs="Arial"/>
            <w:color w:val="006699"/>
            <w:sz w:val="20"/>
            <w:lang w:val="en"/>
          </w:rPr>
          <w:t>S.I. 2009/2611</w:t>
        </w:r>
      </w:hyperlink>
      <w:r>
        <w:rPr>
          <w:rFonts w:cs="Arial"/>
          <w:color w:val="494949"/>
          <w:sz w:val="20"/>
          <w:lang w:val="en"/>
        </w:rPr>
        <w:t xml:space="preserve">. </w:t>
      </w:r>
    </w:p>
    <w:p w14:paraId="6B952B64"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8</w:t>
      </w:r>
      <w:r>
        <w:rPr>
          <w:rFonts w:cs="Arial"/>
          <w:color w:val="000000"/>
          <w:sz w:val="20"/>
          <w:lang w:val="en"/>
        </w:rPr>
        <w:t xml:space="preserve">) </w:t>
      </w:r>
      <w:r>
        <w:rPr>
          <w:rFonts w:cs="Arial"/>
          <w:color w:val="494949"/>
          <w:sz w:val="20"/>
          <w:lang w:val="en"/>
        </w:rPr>
        <w:t xml:space="preserve">Section 142 is repealed by section 63 of and Schedule 10 to the Safeguarding Vulnerable Groups Act 2006 (which are only partly in force) save as provided by </w:t>
      </w:r>
      <w:hyperlink r:id="rId45" w:tooltip="Go to item of legislation" w:history="1">
        <w:r>
          <w:rPr>
            <w:rStyle w:val="Hyperlink"/>
            <w:rFonts w:cs="Arial"/>
            <w:color w:val="006699"/>
            <w:sz w:val="20"/>
            <w:lang w:val="en"/>
          </w:rPr>
          <w:t>S.I. 2009/2611</w:t>
        </w:r>
      </w:hyperlink>
      <w:r>
        <w:rPr>
          <w:rFonts w:cs="Arial"/>
          <w:color w:val="494949"/>
          <w:sz w:val="20"/>
          <w:lang w:val="en"/>
        </w:rPr>
        <w:t xml:space="preserve">. </w:t>
      </w:r>
    </w:p>
    <w:p w14:paraId="54AE7D09"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9</w:t>
      </w:r>
      <w:r>
        <w:rPr>
          <w:rFonts w:cs="Arial"/>
          <w:color w:val="000000"/>
          <w:sz w:val="20"/>
          <w:lang w:val="en"/>
        </w:rPr>
        <w:t xml:space="preserve">) </w:t>
      </w:r>
      <w:hyperlink r:id="rId46" w:tooltip="Go to item of legislation" w:history="1">
        <w:r>
          <w:rPr>
            <w:rStyle w:val="Hyperlink"/>
            <w:rFonts w:cs="Arial"/>
            <w:color w:val="006699"/>
            <w:sz w:val="20"/>
            <w:lang w:val="en"/>
          </w:rPr>
          <w:t>2006 c.47</w:t>
        </w:r>
      </w:hyperlink>
      <w:r>
        <w:rPr>
          <w:rFonts w:cs="Arial"/>
          <w:color w:val="494949"/>
          <w:sz w:val="20"/>
          <w:lang w:val="en"/>
        </w:rPr>
        <w:t xml:space="preserve">. </w:t>
      </w:r>
    </w:p>
    <w:p w14:paraId="44FF96B7"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10</w:t>
      </w:r>
      <w:r>
        <w:rPr>
          <w:rFonts w:cs="Arial"/>
          <w:color w:val="000000"/>
          <w:sz w:val="20"/>
          <w:lang w:val="en"/>
        </w:rPr>
        <w:t xml:space="preserve">) </w:t>
      </w:r>
      <w:hyperlink r:id="rId47" w:tooltip="Go to item of legislation" w:history="1">
        <w:r>
          <w:rPr>
            <w:rStyle w:val="Hyperlink"/>
            <w:rFonts w:cs="Arial"/>
            <w:color w:val="006699"/>
            <w:sz w:val="20"/>
            <w:lang w:val="en"/>
          </w:rPr>
          <w:t>2000 c.43</w:t>
        </w:r>
      </w:hyperlink>
      <w:r>
        <w:rPr>
          <w:rFonts w:cs="Arial"/>
          <w:color w:val="494949"/>
          <w:sz w:val="20"/>
          <w:lang w:val="en"/>
        </w:rPr>
        <w:t xml:space="preserve">. Section 28 is repealed by section 63 of and Schedule 10 to the Safeguarding Vulnerable Groups Act 2006 (which are only partly in force) save as provided by </w:t>
      </w:r>
      <w:hyperlink r:id="rId48" w:tooltip="Go to item of legislation" w:history="1">
        <w:r>
          <w:rPr>
            <w:rStyle w:val="Hyperlink"/>
            <w:rFonts w:cs="Arial"/>
            <w:color w:val="006699"/>
            <w:sz w:val="20"/>
            <w:lang w:val="en"/>
          </w:rPr>
          <w:t>S.I. 2009/2611</w:t>
        </w:r>
      </w:hyperlink>
      <w:r>
        <w:rPr>
          <w:rFonts w:cs="Arial"/>
          <w:color w:val="494949"/>
          <w:sz w:val="20"/>
          <w:lang w:val="en"/>
        </w:rPr>
        <w:t xml:space="preserve"> and </w:t>
      </w:r>
      <w:hyperlink r:id="rId49" w:tooltip="Go to item of legislation" w:history="1">
        <w:r>
          <w:rPr>
            <w:rStyle w:val="Hyperlink"/>
            <w:rFonts w:cs="Arial"/>
            <w:color w:val="006699"/>
            <w:sz w:val="20"/>
            <w:lang w:val="en"/>
          </w:rPr>
          <w:t>S.I. 2010/1101</w:t>
        </w:r>
      </w:hyperlink>
      <w:r>
        <w:rPr>
          <w:rFonts w:cs="Arial"/>
          <w:color w:val="494949"/>
          <w:sz w:val="20"/>
          <w:lang w:val="en"/>
        </w:rPr>
        <w:t xml:space="preserve">. </w:t>
      </w:r>
    </w:p>
    <w:p w14:paraId="1C45B928"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11</w:t>
      </w:r>
      <w:r>
        <w:rPr>
          <w:rFonts w:cs="Arial"/>
          <w:color w:val="000000"/>
          <w:sz w:val="20"/>
          <w:lang w:val="en"/>
        </w:rPr>
        <w:t xml:space="preserve">) </w:t>
      </w:r>
      <w:hyperlink r:id="rId50" w:tooltip="Go to item of legislation" w:history="1">
        <w:r>
          <w:rPr>
            <w:rStyle w:val="Hyperlink"/>
            <w:rFonts w:cs="Arial"/>
            <w:color w:val="006699"/>
            <w:sz w:val="20"/>
            <w:lang w:val="en"/>
          </w:rPr>
          <w:t xml:space="preserve">2010 </w:t>
        </w:r>
        <w:proofErr w:type="spellStart"/>
        <w:r>
          <w:rPr>
            <w:rStyle w:val="Hyperlink"/>
            <w:rFonts w:cs="Arial"/>
            <w:color w:val="006699"/>
            <w:sz w:val="20"/>
            <w:lang w:val="en"/>
          </w:rPr>
          <w:t>nawm</w:t>
        </w:r>
        <w:proofErr w:type="spellEnd"/>
        <w:r>
          <w:rPr>
            <w:rStyle w:val="Hyperlink"/>
            <w:rFonts w:cs="Arial"/>
            <w:color w:val="006699"/>
            <w:sz w:val="20"/>
            <w:lang w:val="en"/>
          </w:rPr>
          <w:t xml:space="preserve"> 1</w:t>
        </w:r>
      </w:hyperlink>
      <w:r>
        <w:rPr>
          <w:rFonts w:cs="Arial"/>
          <w:color w:val="494949"/>
          <w:sz w:val="20"/>
          <w:lang w:val="en"/>
        </w:rPr>
        <w:t xml:space="preserve">. </w:t>
      </w:r>
    </w:p>
    <w:p w14:paraId="39DD02BB"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12</w:t>
      </w:r>
      <w:r>
        <w:rPr>
          <w:rFonts w:cs="Arial"/>
          <w:color w:val="000000"/>
          <w:sz w:val="20"/>
          <w:lang w:val="en"/>
        </w:rPr>
        <w:t xml:space="preserve">) </w:t>
      </w:r>
      <w:hyperlink r:id="rId51" w:tooltip="Go to item of legislation" w:history="1">
        <w:r>
          <w:rPr>
            <w:rStyle w:val="Hyperlink"/>
            <w:rFonts w:cs="Arial"/>
            <w:color w:val="006699"/>
            <w:sz w:val="20"/>
            <w:lang w:val="en"/>
          </w:rPr>
          <w:t>2006 c.21</w:t>
        </w:r>
      </w:hyperlink>
      <w:r>
        <w:rPr>
          <w:rFonts w:cs="Arial"/>
          <w:color w:val="494949"/>
          <w:sz w:val="20"/>
          <w:lang w:val="en"/>
        </w:rPr>
        <w:t xml:space="preserve">. Part 3 is amended by the Education and Inspections Act </w:t>
      </w:r>
      <w:hyperlink r:id="rId52" w:tooltip="Go to item of legislation" w:history="1">
        <w:r>
          <w:rPr>
            <w:rStyle w:val="Hyperlink"/>
            <w:rFonts w:cs="Arial"/>
            <w:color w:val="006699"/>
            <w:sz w:val="20"/>
            <w:lang w:val="en"/>
          </w:rPr>
          <w:t>2006 (c.40)</w:t>
        </w:r>
      </w:hyperlink>
      <w:r>
        <w:rPr>
          <w:rFonts w:cs="Arial"/>
          <w:color w:val="494949"/>
          <w:sz w:val="20"/>
          <w:lang w:val="en"/>
        </w:rPr>
        <w:t xml:space="preserve">, the Safeguarding Vulnerable Groups Act 2006, the Education and Skills Act </w:t>
      </w:r>
      <w:hyperlink r:id="rId53" w:tooltip="Go to item of legislation" w:history="1">
        <w:r>
          <w:rPr>
            <w:rStyle w:val="Hyperlink"/>
            <w:rFonts w:cs="Arial"/>
            <w:color w:val="006699"/>
            <w:sz w:val="20"/>
            <w:lang w:val="en"/>
          </w:rPr>
          <w:t>2008 (c. 25)</w:t>
        </w:r>
      </w:hyperlink>
      <w:r>
        <w:rPr>
          <w:rFonts w:cs="Arial"/>
          <w:color w:val="494949"/>
          <w:sz w:val="20"/>
          <w:lang w:val="en"/>
        </w:rPr>
        <w:t xml:space="preserve">, the Apprenticeships, Skills, Children and Learning Act </w:t>
      </w:r>
      <w:hyperlink r:id="rId54" w:tooltip="Go to item of legislation" w:history="1">
        <w:r>
          <w:rPr>
            <w:rStyle w:val="Hyperlink"/>
            <w:rFonts w:cs="Arial"/>
            <w:color w:val="006699"/>
            <w:sz w:val="20"/>
            <w:lang w:val="en"/>
          </w:rPr>
          <w:t>2009 (c.22)</w:t>
        </w:r>
      </w:hyperlink>
      <w:r>
        <w:rPr>
          <w:rFonts w:cs="Arial"/>
          <w:color w:val="494949"/>
          <w:sz w:val="20"/>
          <w:lang w:val="en"/>
        </w:rPr>
        <w:t xml:space="preserve"> and the Education Act </w:t>
      </w:r>
      <w:hyperlink r:id="rId55" w:tooltip="Go to item of legislation" w:history="1">
        <w:r>
          <w:rPr>
            <w:rStyle w:val="Hyperlink"/>
            <w:rFonts w:cs="Arial"/>
            <w:color w:val="006699"/>
            <w:sz w:val="20"/>
            <w:lang w:val="en"/>
          </w:rPr>
          <w:t>2011 (c.21)</w:t>
        </w:r>
      </w:hyperlink>
      <w:r>
        <w:rPr>
          <w:rFonts w:cs="Arial"/>
          <w:color w:val="494949"/>
          <w:sz w:val="20"/>
          <w:lang w:val="en"/>
        </w:rPr>
        <w:t xml:space="preserve">. </w:t>
      </w:r>
    </w:p>
    <w:p w14:paraId="6EBE998C"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13</w:t>
      </w:r>
      <w:r>
        <w:rPr>
          <w:rFonts w:cs="Arial"/>
          <w:color w:val="000000"/>
          <w:sz w:val="20"/>
          <w:lang w:val="en"/>
        </w:rPr>
        <w:t xml:space="preserve">) </w:t>
      </w:r>
      <w:r>
        <w:rPr>
          <w:rFonts w:cs="Arial"/>
          <w:color w:val="494949"/>
          <w:sz w:val="20"/>
          <w:lang w:val="en"/>
        </w:rPr>
        <w:t xml:space="preserve">As amended by SSFA 1998 and by section 206 of and Schedule 20 to EA 2002 and by section 6 of and Schedule 1 to the Education and Inspections Act 2006 and by </w:t>
      </w:r>
      <w:hyperlink r:id="rId56" w:tooltip="Go to item of legislation" w:history="1">
        <w:r>
          <w:rPr>
            <w:rStyle w:val="Hyperlink"/>
            <w:rFonts w:cs="Arial"/>
            <w:color w:val="006699"/>
            <w:sz w:val="20"/>
            <w:lang w:val="en"/>
          </w:rPr>
          <w:t>S.I. 2010/1158</w:t>
        </w:r>
      </w:hyperlink>
      <w:r>
        <w:rPr>
          <w:rFonts w:cs="Arial"/>
          <w:color w:val="494949"/>
          <w:sz w:val="20"/>
          <w:lang w:val="en"/>
        </w:rPr>
        <w:t xml:space="preserve">. </w:t>
      </w:r>
    </w:p>
    <w:p w14:paraId="211572FE" w14:textId="77777777" w:rsidR="00C25864" w:rsidRDefault="00C25864" w:rsidP="00C25864">
      <w:pPr>
        <w:shd w:val="clear" w:color="auto" w:fill="FFFFFF"/>
        <w:spacing w:line="360" w:lineRule="atLeast"/>
        <w:jc w:val="both"/>
        <w:rPr>
          <w:rFonts w:cs="Arial"/>
          <w:color w:val="494949"/>
          <w:sz w:val="20"/>
          <w:lang w:val="en"/>
        </w:rPr>
      </w:pPr>
      <w:r>
        <w:rPr>
          <w:rFonts w:cs="Arial"/>
          <w:color w:val="000000"/>
          <w:sz w:val="20"/>
          <w:lang w:val="en"/>
        </w:rPr>
        <w:t>(</w:t>
      </w:r>
      <w:r>
        <w:rPr>
          <w:rFonts w:cs="Arial"/>
          <w:bCs/>
          <w:color w:val="000000"/>
          <w:sz w:val="20"/>
          <w:lang w:val="en"/>
        </w:rPr>
        <w:t>14</w:t>
      </w:r>
      <w:r>
        <w:rPr>
          <w:rFonts w:cs="Arial"/>
          <w:color w:val="000000"/>
          <w:sz w:val="20"/>
          <w:lang w:val="en"/>
        </w:rPr>
        <w:t xml:space="preserve">) </w:t>
      </w:r>
      <w:hyperlink r:id="rId57" w:tooltip="Go to item of legislation" w:history="1">
        <w:r>
          <w:rPr>
            <w:rStyle w:val="Hyperlink"/>
            <w:rFonts w:cs="Arial"/>
            <w:color w:val="006699"/>
            <w:sz w:val="20"/>
            <w:lang w:val="en"/>
          </w:rPr>
          <w:t>1992 c.13</w:t>
        </w:r>
      </w:hyperlink>
      <w:r>
        <w:rPr>
          <w:rFonts w:cs="Arial"/>
          <w:color w:val="494949"/>
          <w:sz w:val="20"/>
          <w:lang w:val="en"/>
        </w:rPr>
        <w:t xml:space="preserve">; section 85A was inserted by section 206 of and Schedule 20 to EA 2002 and amended by </w:t>
      </w:r>
      <w:hyperlink r:id="rId58" w:tooltip="Go to item of legislation" w:history="1">
        <w:r>
          <w:rPr>
            <w:rStyle w:val="Hyperlink"/>
            <w:rFonts w:cs="Arial"/>
            <w:color w:val="006699"/>
            <w:sz w:val="20"/>
            <w:lang w:val="en"/>
          </w:rPr>
          <w:t>S.I. 2010/1158</w:t>
        </w:r>
      </w:hyperlink>
      <w:r>
        <w:rPr>
          <w:rFonts w:cs="Arial"/>
          <w:color w:val="494949"/>
          <w:sz w:val="20"/>
          <w:lang w:val="en"/>
        </w:rPr>
        <w:t xml:space="preserve"> and by section 54 of and Schedule 13 to the Education Act 2011. </w:t>
      </w:r>
    </w:p>
    <w:p w14:paraId="4EE939BD" w14:textId="77777777" w:rsidR="00C25864" w:rsidRDefault="00C25864" w:rsidP="00C25864">
      <w:pPr>
        <w:widowControl w:val="0"/>
        <w:numPr>
          <w:ilvl w:val="0"/>
          <w:numId w:val="1"/>
        </w:numPr>
        <w:tabs>
          <w:tab w:val="num" w:pos="567"/>
        </w:tabs>
        <w:overflowPunct w:val="0"/>
        <w:autoSpaceDE w:val="0"/>
        <w:autoSpaceDN w:val="0"/>
        <w:adjustRightInd w:val="0"/>
        <w:ind w:left="567" w:right="-55" w:hanging="567"/>
        <w:textAlignment w:val="baseline"/>
        <w:rPr>
          <w:lang w:eastAsia="en-US"/>
        </w:rPr>
      </w:pPr>
      <w:r>
        <w:rPr>
          <w:rFonts w:cs="Arial"/>
          <w:color w:val="000000"/>
          <w:sz w:val="20"/>
          <w:lang w:val="en"/>
        </w:rPr>
        <w:t>(</w:t>
      </w:r>
      <w:r>
        <w:rPr>
          <w:rFonts w:cs="Arial"/>
          <w:bCs/>
          <w:color w:val="000000"/>
          <w:sz w:val="20"/>
          <w:lang w:val="en"/>
        </w:rPr>
        <w:t>15</w:t>
      </w:r>
      <w:r>
        <w:rPr>
          <w:rFonts w:cs="Arial"/>
          <w:color w:val="000000"/>
          <w:sz w:val="20"/>
          <w:lang w:val="en"/>
        </w:rPr>
        <w:t xml:space="preserve">) </w:t>
      </w:r>
      <w:hyperlink r:id="rId59" w:tooltip="Go to item of legislation" w:history="1">
        <w:r>
          <w:rPr>
            <w:rStyle w:val="Hyperlink"/>
            <w:rFonts w:cs="Arial"/>
            <w:color w:val="006699"/>
            <w:sz w:val="20"/>
            <w:lang w:val="en"/>
          </w:rPr>
          <w:t>1997 c.50</w:t>
        </w:r>
      </w:hyperlink>
      <w:r>
        <w:rPr>
          <w:rFonts w:cs="Arial"/>
          <w:color w:val="494949"/>
          <w:sz w:val="20"/>
          <w:lang w:val="en"/>
        </w:rPr>
        <w:t xml:space="preserve">; inserted by section 163 of the Serious </w:t>
      </w:r>
      <w:proofErr w:type="spellStart"/>
      <w:r>
        <w:rPr>
          <w:rFonts w:cs="Arial"/>
          <w:color w:val="494949"/>
          <w:sz w:val="20"/>
          <w:lang w:val="en"/>
        </w:rPr>
        <w:t>Organised</w:t>
      </w:r>
      <w:proofErr w:type="spellEnd"/>
      <w:r>
        <w:rPr>
          <w:rFonts w:cs="Arial"/>
          <w:color w:val="494949"/>
          <w:sz w:val="20"/>
          <w:lang w:val="en"/>
        </w:rPr>
        <w:t xml:space="preserve"> Crime and Police Act 2005 (</w:t>
      </w:r>
      <w:hyperlink r:id="rId60" w:tooltip="Go to item of legislation" w:history="1">
        <w:r>
          <w:rPr>
            <w:rStyle w:val="Hyperlink"/>
            <w:rFonts w:cs="Arial"/>
            <w:color w:val="006699"/>
            <w:sz w:val="20"/>
            <w:lang w:val="en"/>
          </w:rPr>
          <w:t>2005 c.15</w:t>
        </w:r>
      </w:hyperlink>
      <w:r>
        <w:rPr>
          <w:rFonts w:cs="Arial"/>
          <w:color w:val="494949"/>
          <w:sz w:val="20"/>
          <w:lang w:val="en"/>
        </w:rPr>
        <w:t xml:space="preserve">) and amended by the Safeguarding Vulnerable Groups Act 2006, the Armed Forces Act </w:t>
      </w:r>
      <w:hyperlink r:id="rId61" w:tooltip="Go to item of legislation" w:history="1">
        <w:r>
          <w:rPr>
            <w:rStyle w:val="Hyperlink"/>
            <w:rFonts w:cs="Arial"/>
            <w:color w:val="006699"/>
            <w:sz w:val="20"/>
            <w:lang w:val="en"/>
          </w:rPr>
          <w:t>2006 (c.52)</w:t>
        </w:r>
      </w:hyperlink>
      <w:r>
        <w:rPr>
          <w:rFonts w:cs="Arial"/>
          <w:color w:val="494949"/>
          <w:sz w:val="20"/>
          <w:lang w:val="en"/>
        </w:rPr>
        <w:t xml:space="preserve">, the Policing and Crime Act </w:t>
      </w:r>
      <w:hyperlink r:id="rId62" w:tooltip="Go to item of legislation" w:history="1">
        <w:r>
          <w:rPr>
            <w:rStyle w:val="Hyperlink"/>
            <w:rFonts w:cs="Arial"/>
            <w:color w:val="006699"/>
            <w:sz w:val="20"/>
            <w:lang w:val="en"/>
          </w:rPr>
          <w:t>2009 (c.26)</w:t>
        </w:r>
      </w:hyperlink>
      <w:r>
        <w:rPr>
          <w:rFonts w:cs="Arial"/>
          <w:color w:val="494949"/>
          <w:sz w:val="20"/>
          <w:lang w:val="en"/>
        </w:rPr>
        <w:t xml:space="preserve"> and </w:t>
      </w:r>
      <w:hyperlink r:id="rId63" w:tooltip="Go to item of legislation" w:history="1">
        <w:r>
          <w:rPr>
            <w:rStyle w:val="Hyperlink"/>
            <w:rFonts w:cs="Arial"/>
            <w:color w:val="006699"/>
            <w:sz w:val="20"/>
            <w:lang w:val="en"/>
          </w:rPr>
          <w:t>S.I.2009/203</w:t>
        </w:r>
      </w:hyperlink>
      <w:r>
        <w:rPr>
          <w:rFonts w:cs="Arial"/>
          <w:color w:val="494949"/>
          <w:sz w:val="20"/>
          <w:lang w:val="en"/>
        </w:rPr>
        <w:t xml:space="preserve"> and </w:t>
      </w:r>
      <w:hyperlink r:id="rId64" w:tooltip="Go to item of legislation" w:history="1">
        <w:r>
          <w:rPr>
            <w:rStyle w:val="Hyperlink"/>
            <w:rFonts w:cs="Arial"/>
            <w:color w:val="006699"/>
            <w:sz w:val="20"/>
            <w:lang w:val="en"/>
          </w:rPr>
          <w:t>S.I. 2010/1146</w:t>
        </w:r>
      </w:hyperlink>
      <w:r>
        <w:rPr>
          <w:rFonts w:cs="Arial"/>
          <w:color w:val="494949"/>
          <w:sz w:val="20"/>
          <w:lang w:val="en"/>
        </w:rPr>
        <w:t>.</w:t>
      </w:r>
    </w:p>
    <w:p w14:paraId="6458DBBA" w14:textId="77777777" w:rsidR="00C25864" w:rsidRDefault="00C25864" w:rsidP="00C25864">
      <w:pPr>
        <w:sectPr w:rsidR="00C25864">
          <w:pgSz w:w="11906" w:h="16838"/>
          <w:pgMar w:top="284" w:right="1298" w:bottom="170" w:left="1298" w:header="720" w:footer="720" w:gutter="0"/>
          <w:pgNumType w:chapStyle="1"/>
          <w:cols w:space="720"/>
        </w:sectPr>
      </w:pPr>
    </w:p>
    <w:p w14:paraId="3FF26721" w14:textId="2DB68231" w:rsidR="00C25864" w:rsidRDefault="00C25864" w:rsidP="00C25864">
      <w:pPr>
        <w:widowControl w:val="0"/>
        <w:overflowPunct w:val="0"/>
        <w:autoSpaceDE w:val="0"/>
        <w:autoSpaceDN w:val="0"/>
        <w:adjustRightInd w:val="0"/>
        <w:ind w:right="-55"/>
        <w:textAlignment w:val="baseline"/>
        <w:rPr>
          <w:rFonts w:cs="Arial"/>
          <w:b/>
          <w:sz w:val="22"/>
          <w:szCs w:val="22"/>
          <w:u w:val="single"/>
        </w:rPr>
      </w:pPr>
      <w:r>
        <w:rPr>
          <w:noProof/>
        </w:rPr>
        <w:lastRenderedPageBreak/>
        <mc:AlternateContent>
          <mc:Choice Requires="wps">
            <w:drawing>
              <wp:anchor distT="0" distB="0" distL="114300" distR="114300" simplePos="0" relativeHeight="251658240" behindDoc="0" locked="0" layoutInCell="1" allowOverlap="1" wp14:anchorId="5FF1DBFE" wp14:editId="19E2D29D">
                <wp:simplePos x="0" y="0"/>
                <wp:positionH relativeFrom="column">
                  <wp:posOffset>3345815</wp:posOffset>
                </wp:positionH>
                <wp:positionV relativeFrom="paragraph">
                  <wp:posOffset>-19685</wp:posOffset>
                </wp:positionV>
                <wp:extent cx="1217295" cy="267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267970"/>
                        </a:xfrm>
                        <a:prstGeom prst="rect">
                          <a:avLst/>
                        </a:prstGeom>
                        <a:noFill/>
                        <a:ln w="6350">
                          <a:noFill/>
                        </a:ln>
                        <a:effectLst/>
                      </wps:spPr>
                      <wps:txbx>
                        <w:txbxContent>
                          <w:p w14:paraId="54085D65" w14:textId="77777777" w:rsidR="00C25864" w:rsidRDefault="00C25864" w:rsidP="00C25864">
                            <w:pPr>
                              <w:jc w:val="right"/>
                              <w:rPr>
                                <w:rFonts w:cs="Arial"/>
                                <w:sz w:val="26"/>
                                <w:szCs w:val="26"/>
                              </w:rPr>
                            </w:pPr>
                            <w:r>
                              <w:rPr>
                                <w:rFonts w:cs="Arial"/>
                                <w:sz w:val="20"/>
                                <w:szCs w:val="20"/>
                              </w:rPr>
                              <w:t>RESTRICTED</w:t>
                            </w:r>
                            <w:r>
                              <w:rPr>
                                <w:rFonts w:cs="Arial"/>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1DBFE" id="_x0000_t202" coordsize="21600,21600" o:spt="202" path="m,l,21600r21600,l21600,xe">
                <v:stroke joinstyle="miter"/>
                <v:path gradientshapeok="t" o:connecttype="rect"/>
              </v:shapetype>
              <v:shape id="Text Box 2" o:spid="_x0000_s1026" type="#_x0000_t202" style="position:absolute;margin-left:263.45pt;margin-top:-1.55pt;width:95.8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5mPAIAAHgEAAAOAAAAZHJzL2Uyb0RvYy54bWysVEuP2jAQvlfqf7B8L4GUxxIRVnRXVJXQ&#10;7kpQ7dk4Dolqe1zbkNBf37ETWLTtqerFGXu+eX4zWdy3SpKTsK4GndPRYEiJ0ByKWh9y+n23/nRH&#10;ifNMF0yCFjk9C0fvlx8/LBqTiRQqkIWwBJ1olzUmp5X3JksSxyuhmBuAERqVJVjFPF7tISksa9C7&#10;kkk6HE6TBmxhLHDhHL4+dkq6jP7LUnD/XJZOeCJzirn5eNp47sOZLBcsO1hmqpr3abB/yEKxWmPQ&#10;q6tH5hk52voPV6rmFhyUfsBBJVCWNRexBqxmNHxXzbZiRsRasDnOXNvk/p9b/nR6saQucppSoplC&#10;inai9eQLtCQN3WmMyxC0NQjzLT4jy7FSZzbAfziEJDeYzsAhOnSjLa0KX6yToCEScL42PUThwVs6&#10;mqXzCSUcdel0Np9FVpI3a2Od/ypAkSDk1CKpMQN22jgf4rPsAgnBNKxrKSOxUpMmp9PPk2E0uGrQ&#10;QuqAFXFEejehjC7zIPl23/b176E4Y/kWuvFxhq9rTGXDnH9hFucFC8Md8M94lBIwJPQSJRXYX397&#10;D3ikEbWUNDh/OXU/j8wKSuQ3jQTPR+NxGNh4GU9mKV7srWZ/q9FH9QA44iPcNsOjGPBeXsTSgnrF&#10;VVmFqKhimmPsnPqL+OC7rcBV42K1iiAcUcP8Rm8Nv7AeGr1rX5k1PRseeXyCy6Sy7B0pHbajZXX0&#10;UNaRsdDgrqv9+OB4RyL7VQz7c3uPqLcfxvI3AAAA//8DAFBLAwQUAAYACAAAACEAXzJYj+IAAAAJ&#10;AQAADwAAAGRycy9kb3ducmV2LnhtbEyPwU7DMBBE70j8g7WVuLVOUjWkIU5VRaqQEBxaeuG2id0k&#10;qr0OsdsGvh5zguNqnmbeFpvJaHZVo+stCYgXETBFjZU9tQKO77t5Bsx5JInakhLwpRxsyvu7AnNp&#10;b7RX14NvWSghl6OAzvsh59w1nTLoFnZQFLKTHQ36cI4tlyPeQrnRPImilBvsKSx0OKiqU835cDEC&#10;XqrdG+7rxGTfunp+PW2Hz+PHSoiH2bR9AubV5P9g+NUP6lAGp9peSDqmBaySdB1QAfNlDCwAj3GW&#10;AqsFLNcx8LLg/z8ofwAAAP//AwBQSwECLQAUAAYACAAAACEAtoM4kv4AAADhAQAAEwAAAAAAAAAA&#10;AAAAAAAAAAAAW0NvbnRlbnRfVHlwZXNdLnhtbFBLAQItABQABgAIAAAAIQA4/SH/1gAAAJQBAAAL&#10;AAAAAAAAAAAAAAAAAC8BAABfcmVscy8ucmVsc1BLAQItABQABgAIAAAAIQCWzk5mPAIAAHgEAAAO&#10;AAAAAAAAAAAAAAAAAC4CAABkcnMvZTJvRG9jLnhtbFBLAQItABQABgAIAAAAIQBfMliP4gAAAAkB&#10;AAAPAAAAAAAAAAAAAAAAAJYEAABkcnMvZG93bnJldi54bWxQSwUGAAAAAAQABADzAAAApQUAAAAA&#10;" filled="f" stroked="f" strokeweight=".5pt">
                <v:textbox>
                  <w:txbxContent>
                    <w:p w14:paraId="54085D65" w14:textId="77777777" w:rsidR="00C25864" w:rsidRDefault="00C25864" w:rsidP="00C25864">
                      <w:pPr>
                        <w:jc w:val="right"/>
                        <w:rPr>
                          <w:rFonts w:cs="Arial"/>
                          <w:sz w:val="26"/>
                          <w:szCs w:val="26"/>
                        </w:rPr>
                      </w:pPr>
                      <w:r>
                        <w:rPr>
                          <w:rFonts w:cs="Arial"/>
                          <w:sz w:val="20"/>
                          <w:szCs w:val="20"/>
                        </w:rPr>
                        <w:t>RESTRICTED</w:t>
                      </w:r>
                      <w:r>
                        <w:rPr>
                          <w:rFonts w:cs="Arial"/>
                          <w:sz w:val="26"/>
                          <w:szCs w:val="26"/>
                        </w:rPr>
                        <w:t xml:space="preserve"> </w:t>
                      </w:r>
                    </w:p>
                  </w:txbxContent>
                </v:textbox>
              </v:shape>
            </w:pict>
          </mc:Fallback>
        </mc:AlternateContent>
      </w:r>
      <w:r>
        <w:rPr>
          <w:noProof/>
        </w:rPr>
        <w:drawing>
          <wp:anchor distT="0" distB="0" distL="114300" distR="114300" simplePos="0" relativeHeight="251658240" behindDoc="1" locked="0" layoutInCell="1" allowOverlap="1" wp14:anchorId="5C917A29" wp14:editId="1FFA1FD9">
            <wp:simplePos x="0" y="0"/>
            <wp:positionH relativeFrom="column">
              <wp:posOffset>4668520</wp:posOffset>
            </wp:positionH>
            <wp:positionV relativeFrom="paragraph">
              <wp:posOffset>-158750</wp:posOffset>
            </wp:positionV>
            <wp:extent cx="1188085" cy="498475"/>
            <wp:effectExtent l="0" t="0" r="0" b="0"/>
            <wp:wrapTight wrapText="bothSides">
              <wp:wrapPolygon edited="0">
                <wp:start x="0" y="0"/>
                <wp:lineTo x="0" y="20637"/>
                <wp:lineTo x="21127" y="20637"/>
                <wp:lineTo x="21127" y="0"/>
                <wp:lineTo x="0" y="0"/>
              </wp:wrapPolygon>
            </wp:wrapTight>
            <wp:docPr id="1" name="Picture 1" descr="derbyshire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_logo_mediu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88085" cy="49847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22"/>
          <w:szCs w:val="22"/>
          <w:u w:val="single"/>
        </w:rPr>
        <w:t>DECLARATION OF ELIGIBILITY FORM</w:t>
      </w:r>
    </w:p>
    <w:p w14:paraId="516B40CB" w14:textId="77777777" w:rsidR="00C25864" w:rsidRDefault="00C25864" w:rsidP="00C25864">
      <w:pPr>
        <w:widowControl w:val="0"/>
        <w:overflowPunct w:val="0"/>
        <w:autoSpaceDE w:val="0"/>
        <w:autoSpaceDN w:val="0"/>
        <w:adjustRightInd w:val="0"/>
        <w:ind w:left="-567" w:right="-55"/>
        <w:jc w:val="both"/>
        <w:textAlignment w:val="baseline"/>
        <w:rPr>
          <w:rFonts w:cs="Arial"/>
          <w:b/>
          <w:sz w:val="22"/>
          <w:szCs w:val="22"/>
          <w:u w:val="single"/>
        </w:rPr>
      </w:pPr>
    </w:p>
    <w:p w14:paraId="1AA1837D" w14:textId="77777777" w:rsidR="00C25864" w:rsidRDefault="00C25864" w:rsidP="00C25864">
      <w:pPr>
        <w:numPr>
          <w:ilvl w:val="0"/>
          <w:numId w:val="2"/>
        </w:numPr>
        <w:tabs>
          <w:tab w:val="num" w:pos="-284"/>
        </w:tabs>
        <w:ind w:left="-567" w:right="-12" w:firstLine="0"/>
        <w:jc w:val="both"/>
        <w:rPr>
          <w:rFonts w:cs="Arial"/>
          <w:sz w:val="22"/>
          <w:szCs w:val="22"/>
        </w:rPr>
      </w:pPr>
      <w:r>
        <w:rPr>
          <w:rFonts w:cs="Arial"/>
          <w:sz w:val="22"/>
          <w:szCs w:val="22"/>
        </w:rPr>
        <w:t>Please complete Section A and the first half of Section B.</w:t>
      </w:r>
    </w:p>
    <w:p w14:paraId="413E20C9" w14:textId="77777777" w:rsidR="00C25864" w:rsidRDefault="00C25864" w:rsidP="00C25864">
      <w:pPr>
        <w:numPr>
          <w:ilvl w:val="0"/>
          <w:numId w:val="2"/>
        </w:numPr>
        <w:tabs>
          <w:tab w:val="num" w:pos="-284"/>
        </w:tabs>
        <w:ind w:left="-567" w:right="-12" w:firstLine="0"/>
        <w:jc w:val="both"/>
        <w:rPr>
          <w:rFonts w:cs="Arial"/>
          <w:sz w:val="22"/>
          <w:szCs w:val="22"/>
        </w:rPr>
      </w:pPr>
      <w:r>
        <w:rPr>
          <w:rFonts w:cs="Arial"/>
          <w:sz w:val="22"/>
          <w:szCs w:val="22"/>
        </w:rPr>
        <w:t xml:space="preserve">Please provide two proofs of identity (e.g. Passport/Driving Licence/Utility Bill/Bankers Card) </w:t>
      </w:r>
      <w:r>
        <w:rPr>
          <w:rFonts w:cs="Arial"/>
          <w:sz w:val="22"/>
          <w:szCs w:val="22"/>
        </w:rPr>
        <w:tab/>
        <w:t>to the Headteacher or Clerk to Governors who will complete and sign Section C</w:t>
      </w:r>
    </w:p>
    <w:p w14:paraId="077C98B6" w14:textId="77777777" w:rsidR="00C25864" w:rsidRDefault="00C25864" w:rsidP="00C25864">
      <w:pPr>
        <w:numPr>
          <w:ilvl w:val="0"/>
          <w:numId w:val="2"/>
        </w:numPr>
        <w:tabs>
          <w:tab w:val="num" w:pos="-284"/>
        </w:tabs>
        <w:ind w:left="-567" w:right="-12" w:firstLine="0"/>
        <w:jc w:val="both"/>
        <w:rPr>
          <w:rFonts w:cs="Arial"/>
          <w:b/>
          <w:sz w:val="22"/>
          <w:szCs w:val="22"/>
        </w:rPr>
      </w:pPr>
      <w:r>
        <w:rPr>
          <w:rFonts w:cs="Arial"/>
          <w:b/>
          <w:sz w:val="22"/>
          <w:szCs w:val="22"/>
        </w:rPr>
        <w:t>SECTION A</w:t>
      </w:r>
      <w:r>
        <w:rPr>
          <w:rFonts w:cs="Arial"/>
          <w:sz w:val="22"/>
          <w:szCs w:val="22"/>
        </w:rPr>
        <w:t xml:space="preserve"> TO BE RETAINED BY THE CLERK TO GOVERNORS FOR THE DURATION </w:t>
      </w:r>
      <w:r>
        <w:rPr>
          <w:rFonts w:cs="Arial"/>
          <w:sz w:val="22"/>
          <w:szCs w:val="22"/>
        </w:rPr>
        <w:tab/>
        <w:t xml:space="preserve">OF </w:t>
      </w:r>
      <w:r>
        <w:rPr>
          <w:rFonts w:cs="Arial"/>
          <w:sz w:val="22"/>
          <w:szCs w:val="22"/>
        </w:rPr>
        <w:tab/>
        <w:t xml:space="preserve">THE TERM OF OFFICE. </w:t>
      </w:r>
      <w:r>
        <w:rPr>
          <w:rFonts w:cs="Arial"/>
          <w:b/>
          <w:sz w:val="22"/>
          <w:szCs w:val="22"/>
        </w:rPr>
        <w:t xml:space="preserve"> </w:t>
      </w:r>
    </w:p>
    <w:p w14:paraId="51FB41DA" w14:textId="77777777" w:rsidR="00C25864" w:rsidRDefault="00C25864" w:rsidP="00C25864">
      <w:pPr>
        <w:numPr>
          <w:ilvl w:val="0"/>
          <w:numId w:val="2"/>
        </w:numPr>
        <w:tabs>
          <w:tab w:val="num" w:pos="-284"/>
        </w:tabs>
        <w:ind w:left="-567" w:right="-12" w:firstLine="0"/>
        <w:contextualSpacing/>
        <w:jc w:val="both"/>
        <w:rPr>
          <w:rFonts w:cs="Arial"/>
          <w:b/>
          <w:sz w:val="22"/>
          <w:szCs w:val="22"/>
        </w:rPr>
      </w:pPr>
      <w:r>
        <w:rPr>
          <w:rFonts w:cs="Arial"/>
          <w:b/>
          <w:sz w:val="22"/>
          <w:szCs w:val="22"/>
        </w:rPr>
        <w:t>SECTIONS B AND C</w:t>
      </w:r>
      <w:r>
        <w:rPr>
          <w:rFonts w:cs="Arial"/>
          <w:sz w:val="22"/>
          <w:szCs w:val="22"/>
        </w:rPr>
        <w:t xml:space="preserve"> TO BE DEALT WITH ACCORDING TO THE SCHOOL’S DATA </w:t>
      </w:r>
      <w:r>
        <w:rPr>
          <w:rFonts w:cs="Arial"/>
          <w:sz w:val="22"/>
          <w:szCs w:val="22"/>
        </w:rPr>
        <w:tab/>
        <w:t xml:space="preserve">PROTECTION PROCEDURES FOLLOWING ELECTION / APPOINTMENT PROCESS.  </w:t>
      </w:r>
    </w:p>
    <w:p w14:paraId="2F1A29D4" w14:textId="77777777" w:rsidR="00C25864" w:rsidRDefault="00C25864" w:rsidP="00C25864">
      <w:pPr>
        <w:ind w:left="-567" w:right="-12"/>
        <w:contextualSpacing/>
        <w:jc w:val="both"/>
        <w:rPr>
          <w:rFonts w:cs="Arial"/>
          <w:b/>
          <w:sz w:val="16"/>
          <w:szCs w:val="16"/>
        </w:rPr>
      </w:pPr>
    </w:p>
    <w:tbl>
      <w:tblPr>
        <w:tblW w:w="1006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C25864" w14:paraId="7E3541AE" w14:textId="77777777" w:rsidTr="00C25864">
        <w:tc>
          <w:tcPr>
            <w:tcW w:w="10060" w:type="dxa"/>
            <w:tcBorders>
              <w:top w:val="single" w:sz="4" w:space="0" w:color="auto"/>
              <w:left w:val="single" w:sz="4" w:space="0" w:color="auto"/>
              <w:bottom w:val="single" w:sz="4" w:space="0" w:color="auto"/>
              <w:right w:val="single" w:sz="4" w:space="0" w:color="auto"/>
            </w:tcBorders>
            <w:shd w:val="clear" w:color="auto" w:fill="DAEEF3"/>
            <w:hideMark/>
          </w:tcPr>
          <w:p w14:paraId="19C3777E" w14:textId="77777777" w:rsidR="00C25864" w:rsidRDefault="00C25864">
            <w:pPr>
              <w:spacing w:before="240"/>
              <w:contextualSpacing/>
              <w:jc w:val="both"/>
              <w:rPr>
                <w:rFonts w:cs="Arial"/>
                <w:b/>
                <w:i/>
                <w:sz w:val="20"/>
                <w:szCs w:val="20"/>
              </w:rPr>
            </w:pPr>
            <w:r>
              <w:rPr>
                <w:rFonts w:cs="Arial"/>
                <w:b/>
              </w:rPr>
              <w:t xml:space="preserve">SECTION A </w:t>
            </w:r>
          </w:p>
          <w:p w14:paraId="7ACBEF91" w14:textId="77777777" w:rsidR="00C25864" w:rsidRDefault="00C25864" w:rsidP="00191368">
            <w:pPr>
              <w:pStyle w:val="ListParagraph"/>
              <w:numPr>
                <w:ilvl w:val="0"/>
                <w:numId w:val="3"/>
              </w:numPr>
              <w:ind w:left="284" w:hanging="284"/>
              <w:jc w:val="both"/>
              <w:rPr>
                <w:rFonts w:ascii="Arial" w:hAnsi="Arial" w:cs="Arial"/>
                <w:i/>
                <w:sz w:val="24"/>
                <w:szCs w:val="24"/>
              </w:rPr>
            </w:pPr>
            <w:r>
              <w:rPr>
                <w:rFonts w:ascii="Arial" w:hAnsi="Arial" w:cs="Arial"/>
                <w:i/>
                <w:sz w:val="24"/>
                <w:szCs w:val="24"/>
              </w:rPr>
              <w:t xml:space="preserve">Having read and understood the disqualification criteria as listed, I declare that I am not disqualified from serving on a School Governing Board.  If I become </w:t>
            </w:r>
            <w:proofErr w:type="gramStart"/>
            <w:r>
              <w:rPr>
                <w:rFonts w:ascii="Arial" w:hAnsi="Arial" w:cs="Arial"/>
                <w:i/>
                <w:sz w:val="24"/>
                <w:szCs w:val="24"/>
              </w:rPr>
              <w:t>disqualified</w:t>
            </w:r>
            <w:proofErr w:type="gramEnd"/>
            <w:r>
              <w:rPr>
                <w:rFonts w:ascii="Arial" w:hAnsi="Arial" w:cs="Arial"/>
                <w:i/>
                <w:sz w:val="24"/>
                <w:szCs w:val="24"/>
              </w:rPr>
              <w:t xml:space="preserve"> I will give notice of the fact to the Clerk of the Governing Board.  </w:t>
            </w:r>
          </w:p>
          <w:p w14:paraId="7CB282DC" w14:textId="77777777" w:rsidR="00C25864" w:rsidRDefault="00C25864" w:rsidP="00191368">
            <w:pPr>
              <w:pStyle w:val="ListParagraph"/>
              <w:numPr>
                <w:ilvl w:val="0"/>
                <w:numId w:val="3"/>
              </w:numPr>
              <w:ind w:left="284" w:hanging="284"/>
              <w:jc w:val="both"/>
              <w:rPr>
                <w:rFonts w:ascii="Arial" w:hAnsi="Arial" w:cs="Arial"/>
                <w:i/>
                <w:sz w:val="24"/>
                <w:szCs w:val="24"/>
              </w:rPr>
            </w:pPr>
            <w:r>
              <w:rPr>
                <w:rFonts w:ascii="Arial" w:hAnsi="Arial" w:cs="Arial"/>
                <w:i/>
                <w:sz w:val="24"/>
                <w:szCs w:val="24"/>
              </w:rPr>
              <w:t>Upon election / appointment, I understand that my personal data including name, address, telephone number and email address will be held securely by the LA’s Governor Support Service in line with Derbyshire County Council’s Children’s Services retention schedule and these details may be shared with other members of the LA if necessary*.</w:t>
            </w:r>
          </w:p>
          <w:p w14:paraId="6753356B" w14:textId="77777777" w:rsidR="00C25864" w:rsidRDefault="00C25864">
            <w:pPr>
              <w:ind w:right="-12"/>
              <w:contextualSpacing/>
              <w:jc w:val="both"/>
              <w:rPr>
                <w:rFonts w:cs="Arial"/>
                <w:b/>
              </w:rPr>
            </w:pPr>
            <w:r>
              <w:rPr>
                <w:rFonts w:cs="Arial"/>
                <w:i/>
              </w:rPr>
              <w:t>Signed: …………………………………………………….</w:t>
            </w:r>
            <w:r>
              <w:rPr>
                <w:rFonts w:cs="Arial"/>
                <w:i/>
              </w:rPr>
              <w:tab/>
              <w:t>Date: ……………………….……</w:t>
            </w:r>
            <w:proofErr w:type="gramStart"/>
            <w:r>
              <w:rPr>
                <w:rFonts w:cs="Arial"/>
                <w:i/>
              </w:rPr>
              <w:t>…..</w:t>
            </w:r>
            <w:proofErr w:type="gramEnd"/>
          </w:p>
        </w:tc>
      </w:tr>
      <w:tr w:rsidR="00C25864" w14:paraId="44B62787" w14:textId="77777777" w:rsidTr="00C25864">
        <w:tc>
          <w:tcPr>
            <w:tcW w:w="10060" w:type="dxa"/>
            <w:tcBorders>
              <w:top w:val="single" w:sz="4" w:space="0" w:color="auto"/>
              <w:left w:val="single" w:sz="4" w:space="0" w:color="auto"/>
              <w:bottom w:val="single" w:sz="4" w:space="0" w:color="auto"/>
              <w:right w:val="single" w:sz="4" w:space="0" w:color="auto"/>
            </w:tcBorders>
            <w:shd w:val="clear" w:color="auto" w:fill="DAEEF3"/>
          </w:tcPr>
          <w:p w14:paraId="5C259B0F" w14:textId="77777777" w:rsidR="00C25864" w:rsidRDefault="00C25864">
            <w:pPr>
              <w:spacing w:before="240"/>
              <w:contextualSpacing/>
              <w:jc w:val="both"/>
              <w:rPr>
                <w:rFonts w:cs="Arial"/>
                <w:b/>
                <w:i/>
                <w:sz w:val="20"/>
                <w:szCs w:val="20"/>
              </w:rPr>
            </w:pPr>
            <w:r>
              <w:rPr>
                <w:rFonts w:cs="Arial"/>
                <w:b/>
              </w:rPr>
              <w:t xml:space="preserve">SECTION B </w:t>
            </w:r>
          </w:p>
          <w:p w14:paraId="29BA6930" w14:textId="77777777" w:rsidR="00C25864" w:rsidRDefault="00C25864">
            <w:pPr>
              <w:tabs>
                <w:tab w:val="left" w:pos="2268"/>
              </w:tabs>
              <w:jc w:val="both"/>
              <w:rPr>
                <w:rFonts w:cs="Arial"/>
                <w:i/>
                <w:sz w:val="16"/>
                <w:szCs w:val="16"/>
              </w:rPr>
            </w:pPr>
          </w:p>
          <w:p w14:paraId="6F622F00" w14:textId="77777777" w:rsidR="00C25864" w:rsidRDefault="00C25864">
            <w:pPr>
              <w:tabs>
                <w:tab w:val="left" w:pos="2268"/>
              </w:tabs>
              <w:jc w:val="both"/>
              <w:rPr>
                <w:rFonts w:cs="Arial"/>
                <w:i/>
              </w:rPr>
            </w:pPr>
            <w:r>
              <w:rPr>
                <w:rFonts w:cs="Arial"/>
                <w:i/>
              </w:rPr>
              <w:t>Title: ………….…….</w:t>
            </w:r>
            <w:r>
              <w:rPr>
                <w:rFonts w:cs="Arial"/>
                <w:i/>
              </w:rPr>
              <w:tab/>
              <w:t>Name: ………………………………………………</w:t>
            </w:r>
            <w:proofErr w:type="gramStart"/>
            <w:r>
              <w:rPr>
                <w:rFonts w:cs="Arial"/>
                <w:i/>
              </w:rPr>
              <w:t>…..</w:t>
            </w:r>
            <w:proofErr w:type="gramEnd"/>
            <w:r>
              <w:rPr>
                <w:rFonts w:cs="Arial"/>
                <w:i/>
              </w:rPr>
              <w:t>……….…………</w:t>
            </w:r>
          </w:p>
          <w:p w14:paraId="24B207AA" w14:textId="77777777" w:rsidR="00C25864" w:rsidRDefault="00C25864">
            <w:pPr>
              <w:jc w:val="both"/>
              <w:rPr>
                <w:rFonts w:cs="Arial"/>
                <w:i/>
                <w:sz w:val="16"/>
                <w:szCs w:val="16"/>
              </w:rPr>
            </w:pPr>
          </w:p>
          <w:p w14:paraId="5CDCD78D" w14:textId="77777777" w:rsidR="00C25864" w:rsidRDefault="00C25864">
            <w:pPr>
              <w:jc w:val="both"/>
              <w:rPr>
                <w:rFonts w:cs="Arial"/>
                <w:i/>
              </w:rPr>
            </w:pPr>
            <w:r>
              <w:rPr>
                <w:rFonts w:cs="Arial"/>
                <w:i/>
              </w:rPr>
              <w:t>Home address: ……………………………………….…………………………………………….</w:t>
            </w:r>
          </w:p>
          <w:p w14:paraId="1F46316A" w14:textId="77777777" w:rsidR="00C25864" w:rsidRDefault="00C25864">
            <w:pPr>
              <w:jc w:val="both"/>
              <w:rPr>
                <w:rFonts w:cs="Arial"/>
                <w:i/>
                <w:sz w:val="16"/>
                <w:szCs w:val="16"/>
              </w:rPr>
            </w:pPr>
          </w:p>
          <w:p w14:paraId="62E26647" w14:textId="77777777" w:rsidR="00C25864" w:rsidRDefault="00C25864">
            <w:pPr>
              <w:jc w:val="both"/>
              <w:rPr>
                <w:rFonts w:cs="Arial"/>
                <w:i/>
              </w:rPr>
            </w:pPr>
            <w:r>
              <w:rPr>
                <w:rFonts w:cs="Arial"/>
                <w:i/>
              </w:rPr>
              <w:t>………………………………………………………………………………………………………..</w:t>
            </w:r>
          </w:p>
          <w:p w14:paraId="227AA988" w14:textId="77777777" w:rsidR="00C25864" w:rsidRDefault="00C25864">
            <w:pPr>
              <w:rPr>
                <w:rFonts w:cs="Arial"/>
                <w:i/>
                <w:sz w:val="16"/>
                <w:szCs w:val="16"/>
              </w:rPr>
            </w:pPr>
          </w:p>
          <w:p w14:paraId="56C683EC" w14:textId="77777777" w:rsidR="00C25864" w:rsidRDefault="00C25864">
            <w:pPr>
              <w:rPr>
                <w:rFonts w:cs="Arial"/>
                <w:i/>
              </w:rPr>
            </w:pPr>
            <w:r>
              <w:rPr>
                <w:rFonts w:cs="Arial"/>
                <w:i/>
              </w:rPr>
              <w:t>Email Address: …………………………………………………………………………………</w:t>
            </w:r>
            <w:proofErr w:type="gramStart"/>
            <w:r>
              <w:rPr>
                <w:rFonts w:cs="Arial"/>
                <w:i/>
              </w:rPr>
              <w:t>…..</w:t>
            </w:r>
            <w:proofErr w:type="gramEnd"/>
          </w:p>
          <w:p w14:paraId="18BFD372" w14:textId="77777777" w:rsidR="00C25864" w:rsidRDefault="00C25864">
            <w:pPr>
              <w:rPr>
                <w:rFonts w:cs="Arial"/>
                <w:i/>
                <w:sz w:val="16"/>
                <w:szCs w:val="16"/>
              </w:rPr>
            </w:pPr>
          </w:p>
          <w:p w14:paraId="121F86AC" w14:textId="77777777" w:rsidR="00C25864" w:rsidRDefault="00C25864">
            <w:pPr>
              <w:rPr>
                <w:rFonts w:cs="Arial"/>
                <w:i/>
              </w:rPr>
            </w:pPr>
            <w:r>
              <w:rPr>
                <w:rFonts w:cs="Arial"/>
                <w:i/>
              </w:rPr>
              <w:t>Telephone/Mobile ………………………………………………………………………………….</w:t>
            </w:r>
          </w:p>
          <w:p w14:paraId="5E7E282F" w14:textId="77777777" w:rsidR="00C25864" w:rsidRDefault="00C25864">
            <w:pPr>
              <w:rPr>
                <w:rFonts w:cs="Arial"/>
                <w:b/>
                <w:sz w:val="16"/>
                <w:szCs w:val="16"/>
              </w:rPr>
            </w:pPr>
          </w:p>
          <w:p w14:paraId="28D879A7" w14:textId="77777777" w:rsidR="00C25864" w:rsidRDefault="00C25864">
            <w:pPr>
              <w:rPr>
                <w:rFonts w:cs="Arial"/>
                <w:b/>
              </w:rPr>
            </w:pPr>
            <w:r>
              <w:rPr>
                <w:rFonts w:cs="Arial"/>
                <w:b/>
              </w:rPr>
              <w:t>To be completed by the Headteacher or Clerk to Governors:</w:t>
            </w:r>
          </w:p>
          <w:p w14:paraId="13BFC8B3" w14:textId="77777777" w:rsidR="00C25864" w:rsidRDefault="00C25864">
            <w:pPr>
              <w:rPr>
                <w:rFonts w:cs="Arial"/>
                <w:i/>
                <w:sz w:val="16"/>
                <w:szCs w:val="16"/>
              </w:rPr>
            </w:pPr>
          </w:p>
          <w:p w14:paraId="3F832403" w14:textId="77777777" w:rsidR="00C25864" w:rsidRDefault="00C25864">
            <w:pPr>
              <w:rPr>
                <w:rFonts w:cs="Arial"/>
                <w:i/>
              </w:rPr>
            </w:pPr>
            <w:r>
              <w:rPr>
                <w:rFonts w:cs="Arial"/>
                <w:i/>
              </w:rPr>
              <w:t>School Name: ……………………………………………………………………………………….</w:t>
            </w:r>
          </w:p>
          <w:p w14:paraId="25096EA5" w14:textId="77777777" w:rsidR="00C25864" w:rsidRDefault="00C25864">
            <w:pPr>
              <w:rPr>
                <w:rFonts w:cs="Arial"/>
                <w:i/>
                <w:sz w:val="16"/>
                <w:szCs w:val="16"/>
              </w:rPr>
            </w:pPr>
          </w:p>
          <w:p w14:paraId="75E66477" w14:textId="77777777" w:rsidR="00C25864" w:rsidRDefault="00C25864">
            <w:pPr>
              <w:rPr>
                <w:rFonts w:cs="Arial"/>
                <w:i/>
              </w:rPr>
            </w:pPr>
            <w:r>
              <w:rPr>
                <w:rFonts w:cs="Arial"/>
                <w:i/>
              </w:rPr>
              <w:t>Category of Governor: …………………………………………………………</w:t>
            </w:r>
            <w:proofErr w:type="gramStart"/>
            <w:r>
              <w:rPr>
                <w:rFonts w:cs="Arial"/>
                <w:i/>
              </w:rPr>
              <w:t>…..</w:t>
            </w:r>
            <w:proofErr w:type="gramEnd"/>
            <w:r>
              <w:rPr>
                <w:rFonts w:cs="Arial"/>
                <w:i/>
              </w:rPr>
              <w:t>………………</w:t>
            </w:r>
          </w:p>
          <w:p w14:paraId="22A90FBC" w14:textId="77777777" w:rsidR="00C25864" w:rsidRDefault="00C25864">
            <w:pPr>
              <w:ind w:right="-12"/>
              <w:contextualSpacing/>
              <w:jc w:val="both"/>
              <w:rPr>
                <w:rFonts w:cs="Arial"/>
                <w:i/>
                <w:sz w:val="16"/>
                <w:szCs w:val="16"/>
              </w:rPr>
            </w:pPr>
          </w:p>
          <w:p w14:paraId="4ACD655B" w14:textId="77777777" w:rsidR="00C25864" w:rsidRDefault="00C25864">
            <w:pPr>
              <w:ind w:right="-12"/>
              <w:contextualSpacing/>
              <w:jc w:val="both"/>
              <w:rPr>
                <w:rFonts w:cs="Arial"/>
                <w:b/>
              </w:rPr>
            </w:pPr>
            <w:r>
              <w:rPr>
                <w:rFonts w:cs="Arial"/>
                <w:i/>
              </w:rPr>
              <w:t>Date elected/appointed: …………………</w:t>
            </w:r>
            <w:proofErr w:type="gramStart"/>
            <w:r>
              <w:rPr>
                <w:rFonts w:cs="Arial"/>
                <w:i/>
              </w:rPr>
              <w:t>…..</w:t>
            </w:r>
            <w:proofErr w:type="gramEnd"/>
            <w:r>
              <w:rPr>
                <w:rFonts w:cs="Arial"/>
                <w:i/>
              </w:rPr>
              <w:t xml:space="preserve">………. Length of term of office: </w:t>
            </w:r>
            <w:proofErr w:type="gramStart"/>
            <w:r>
              <w:rPr>
                <w:rFonts w:cs="Arial"/>
                <w:i/>
              </w:rPr>
              <w:t>…..</w:t>
            </w:r>
            <w:proofErr w:type="gramEnd"/>
            <w:r>
              <w:rPr>
                <w:rFonts w:cs="Arial"/>
                <w:i/>
              </w:rPr>
              <w:t>…. years</w:t>
            </w:r>
          </w:p>
        </w:tc>
        <w:bookmarkStart w:id="0" w:name="_GoBack"/>
        <w:bookmarkEnd w:id="0"/>
      </w:tr>
      <w:tr w:rsidR="00C25864" w14:paraId="13756543" w14:textId="77777777" w:rsidTr="00C25864">
        <w:tc>
          <w:tcPr>
            <w:tcW w:w="10060" w:type="dxa"/>
            <w:tcBorders>
              <w:top w:val="single" w:sz="4" w:space="0" w:color="auto"/>
              <w:left w:val="single" w:sz="4" w:space="0" w:color="auto"/>
              <w:bottom w:val="single" w:sz="4" w:space="0" w:color="auto"/>
              <w:right w:val="single" w:sz="4" w:space="0" w:color="auto"/>
            </w:tcBorders>
            <w:shd w:val="clear" w:color="auto" w:fill="DAEEF3"/>
          </w:tcPr>
          <w:p w14:paraId="1B174D39" w14:textId="77777777" w:rsidR="00C25864" w:rsidRDefault="00C25864">
            <w:pPr>
              <w:spacing w:line="360" w:lineRule="auto"/>
              <w:rPr>
                <w:rFonts w:cs="Arial"/>
                <w:b/>
              </w:rPr>
            </w:pPr>
            <w:r>
              <w:rPr>
                <w:rFonts w:cs="Arial"/>
                <w:b/>
              </w:rPr>
              <w:t xml:space="preserve">SECTION C </w:t>
            </w:r>
          </w:p>
          <w:p w14:paraId="67FA3BC0" w14:textId="77777777" w:rsidR="00C25864" w:rsidRDefault="00C25864">
            <w:pPr>
              <w:spacing w:line="360" w:lineRule="auto"/>
              <w:rPr>
                <w:rFonts w:cs="Arial"/>
                <w:sz w:val="22"/>
              </w:rPr>
            </w:pPr>
            <w:r>
              <w:rPr>
                <w:rFonts w:cs="Arial"/>
                <w:sz w:val="22"/>
              </w:rPr>
              <w:t>Proof of Identify – two forms of identity required.  Please indicate the nature of the proof seen:</w:t>
            </w:r>
          </w:p>
          <w:p w14:paraId="05D32FDC" w14:textId="77777777" w:rsidR="00C25864" w:rsidRDefault="00C25864">
            <w:pPr>
              <w:spacing w:line="360" w:lineRule="auto"/>
              <w:rPr>
                <w:rFonts w:cs="Arial"/>
                <w:i/>
              </w:rPr>
            </w:pPr>
            <w:r>
              <w:rPr>
                <w:rFonts w:cs="Arial"/>
                <w:i/>
              </w:rPr>
              <w:t>Governor Name: …………………….………………………………………………………………</w:t>
            </w:r>
          </w:p>
          <w:p w14:paraId="11DFCF1C" w14:textId="77777777" w:rsidR="00C25864" w:rsidRDefault="00C25864">
            <w:pPr>
              <w:spacing w:line="360" w:lineRule="auto"/>
              <w:rPr>
                <w:rFonts w:cs="Arial"/>
                <w:i/>
              </w:rPr>
            </w:pPr>
            <w:r>
              <w:rPr>
                <w:rFonts w:cs="Arial"/>
                <w:i/>
              </w:rPr>
              <w:t>(1)  …………………………………………… (2) ………………………………………………….</w:t>
            </w:r>
          </w:p>
          <w:p w14:paraId="521923E3" w14:textId="77777777" w:rsidR="00C25864" w:rsidRDefault="00C25864">
            <w:pPr>
              <w:spacing w:line="360" w:lineRule="auto"/>
              <w:rPr>
                <w:rFonts w:cs="Arial"/>
              </w:rPr>
            </w:pPr>
            <w:r>
              <w:rPr>
                <w:rFonts w:cs="Arial"/>
              </w:rPr>
              <w:t>Countersigned by Headteacher or Clerk to Governors:</w:t>
            </w:r>
          </w:p>
          <w:p w14:paraId="29829694" w14:textId="77777777" w:rsidR="00C25864" w:rsidRDefault="00C25864">
            <w:pPr>
              <w:spacing w:line="360" w:lineRule="auto"/>
              <w:rPr>
                <w:rFonts w:cs="Arial"/>
                <w:sz w:val="8"/>
                <w:szCs w:val="8"/>
              </w:rPr>
            </w:pPr>
          </w:p>
          <w:p w14:paraId="11D780D0" w14:textId="77777777" w:rsidR="00C25864" w:rsidRDefault="00C25864">
            <w:pPr>
              <w:ind w:right="-12"/>
              <w:contextualSpacing/>
              <w:jc w:val="both"/>
              <w:rPr>
                <w:rFonts w:cs="Arial"/>
                <w:b/>
              </w:rPr>
            </w:pPr>
            <w:r>
              <w:rPr>
                <w:rFonts w:cs="Arial"/>
              </w:rPr>
              <w:t>Signature: ……………………………………………….  Date: ………………………………</w:t>
            </w:r>
            <w:proofErr w:type="gramStart"/>
            <w:r>
              <w:rPr>
                <w:rFonts w:cs="Arial"/>
              </w:rPr>
              <w:t>…..</w:t>
            </w:r>
            <w:proofErr w:type="gramEnd"/>
          </w:p>
        </w:tc>
      </w:tr>
      <w:tr w:rsidR="00C25864" w14:paraId="48B3E7A0" w14:textId="77777777" w:rsidTr="00C25864">
        <w:tc>
          <w:tcPr>
            <w:tcW w:w="10060" w:type="dxa"/>
            <w:tcBorders>
              <w:top w:val="single" w:sz="4" w:space="0" w:color="auto"/>
              <w:left w:val="single" w:sz="4" w:space="0" w:color="auto"/>
              <w:bottom w:val="single" w:sz="4" w:space="0" w:color="auto"/>
              <w:right w:val="single" w:sz="4" w:space="0" w:color="auto"/>
            </w:tcBorders>
            <w:shd w:val="clear" w:color="auto" w:fill="215868"/>
            <w:hideMark/>
          </w:tcPr>
          <w:p w14:paraId="19BA6993" w14:textId="77777777" w:rsidR="00C25864" w:rsidRDefault="00C25864">
            <w:pPr>
              <w:pStyle w:val="ListParagraph"/>
              <w:tabs>
                <w:tab w:val="left" w:pos="5907"/>
              </w:tabs>
              <w:spacing w:line="240" w:lineRule="auto"/>
              <w:ind w:left="284"/>
              <w:jc w:val="center"/>
              <w:rPr>
                <w:rFonts w:cs="Arial"/>
                <w:b/>
                <w:color w:val="FFFFFF"/>
                <w:sz w:val="32"/>
                <w:szCs w:val="24"/>
              </w:rPr>
            </w:pPr>
            <w:r>
              <w:rPr>
                <w:rFonts w:cs="Arial"/>
                <w:b/>
                <w:color w:val="FFFFFF"/>
                <w:sz w:val="32"/>
                <w:szCs w:val="24"/>
              </w:rPr>
              <w:t xml:space="preserve">*Please note:  </w:t>
            </w:r>
          </w:p>
          <w:p w14:paraId="1F70E2A7" w14:textId="77777777" w:rsidR="00C25864" w:rsidRDefault="00C25864">
            <w:pPr>
              <w:pStyle w:val="ListParagraph"/>
              <w:tabs>
                <w:tab w:val="left" w:pos="5907"/>
              </w:tabs>
              <w:spacing w:line="240" w:lineRule="auto"/>
              <w:ind w:left="284"/>
              <w:jc w:val="center"/>
              <w:rPr>
                <w:rFonts w:cs="Arial"/>
                <w:b/>
              </w:rPr>
            </w:pPr>
            <w:r>
              <w:rPr>
                <w:rFonts w:cs="Arial"/>
                <w:color w:val="FFFFFF"/>
                <w:sz w:val="24"/>
                <w:szCs w:val="24"/>
              </w:rPr>
              <w:t xml:space="preserve">If you do not wish your details to be held by the Governor Support Service, please contact the Team directly on 01629 535769 or email </w:t>
            </w:r>
            <w:hyperlink r:id="rId66" w:history="1">
              <w:r>
                <w:rPr>
                  <w:rStyle w:val="Hyperlink"/>
                  <w:rFonts w:cs="Arial"/>
                  <w:color w:val="FFFFFF"/>
                  <w:sz w:val="24"/>
                  <w:szCs w:val="24"/>
                </w:rPr>
                <w:t>governor.support@derbyshire.gov.uk</w:t>
              </w:r>
            </w:hyperlink>
            <w:r>
              <w:rPr>
                <w:rFonts w:cs="Arial"/>
                <w:color w:val="FFFFFF"/>
                <w:sz w:val="24"/>
                <w:szCs w:val="24"/>
              </w:rPr>
              <w:t xml:space="preserve"> </w:t>
            </w:r>
          </w:p>
        </w:tc>
      </w:tr>
    </w:tbl>
    <w:p w14:paraId="4ACC8C5C" w14:textId="77777777" w:rsidR="005A1619" w:rsidRDefault="005A1619"/>
    <w:sectPr w:rsidR="005A1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8B8"/>
    <w:multiLevelType w:val="hybridMultilevel"/>
    <w:tmpl w:val="08982234"/>
    <w:lvl w:ilvl="0" w:tplc="3EAE2880">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2A0708"/>
    <w:multiLevelType w:val="hybridMultilevel"/>
    <w:tmpl w:val="DEDC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CC01D9"/>
    <w:multiLevelType w:val="hybridMultilevel"/>
    <w:tmpl w:val="F8D6CA64"/>
    <w:lvl w:ilvl="0" w:tplc="C240BC24">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Marlett"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Marlett"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Marlett"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64"/>
    <w:rsid w:val="005A1619"/>
    <w:rsid w:val="00C2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2357"/>
  <w15:chartTrackingRefBased/>
  <w15:docId w15:val="{CA69F351-1769-4B09-9A9C-1AC90081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86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25864"/>
    <w:rPr>
      <w:color w:val="0000FF"/>
      <w:u w:val="single"/>
    </w:rPr>
  </w:style>
  <w:style w:type="paragraph" w:styleId="ListParagraph">
    <w:name w:val="List Paragraph"/>
    <w:basedOn w:val="Normal"/>
    <w:uiPriority w:val="34"/>
    <w:qFormat/>
    <w:rsid w:val="00C2586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2/1034/schedule/4/made" TargetMode="External"/><Relationship Id="rId18" Type="http://schemas.openxmlformats.org/officeDocument/2006/relationships/hyperlink" Target="http://www.legislation.gov.uk/uksi/2012/1034/schedule/4/made" TargetMode="External"/><Relationship Id="rId26" Type="http://schemas.openxmlformats.org/officeDocument/2006/relationships/hyperlink" Target="http://www.legislation.gov.uk/id/ukpga/2006/46" TargetMode="External"/><Relationship Id="rId39" Type="http://schemas.openxmlformats.org/officeDocument/2006/relationships/hyperlink" Target="http://www.legislation.gov.uk/id/ukpga/2007/15" TargetMode="External"/><Relationship Id="rId21" Type="http://schemas.openxmlformats.org/officeDocument/2006/relationships/hyperlink" Target="http://www.legislation.gov.uk/id/ukpga/2002/40" TargetMode="External"/><Relationship Id="rId34" Type="http://schemas.openxmlformats.org/officeDocument/2006/relationships/hyperlink" Target="http://www.legislation.gov.uk/id/uksi/2007/2194" TargetMode="External"/><Relationship Id="rId42" Type="http://schemas.openxmlformats.org/officeDocument/2006/relationships/hyperlink" Target="http://www.legislation.gov.uk/id/ukpga/2000/14" TargetMode="External"/><Relationship Id="rId47" Type="http://schemas.openxmlformats.org/officeDocument/2006/relationships/hyperlink" Target="http://www.legislation.gov.uk/id/ukpga/2000/43" TargetMode="External"/><Relationship Id="rId50" Type="http://schemas.openxmlformats.org/officeDocument/2006/relationships/hyperlink" Target="http://www.legislation.gov.uk/id/mwa/2010/1" TargetMode="External"/><Relationship Id="rId55" Type="http://schemas.openxmlformats.org/officeDocument/2006/relationships/hyperlink" Target="http://www.legislation.gov.uk/id/ukpga/2011/21" TargetMode="External"/><Relationship Id="rId63" Type="http://schemas.openxmlformats.org/officeDocument/2006/relationships/hyperlink" Target="http://www.legislation.gov.uk/id/uksi/2009/203" TargetMode="External"/><Relationship Id="rId68" Type="http://schemas.openxmlformats.org/officeDocument/2006/relationships/theme" Target="theme/theme1.xml"/><Relationship Id="rId7" Type="http://schemas.openxmlformats.org/officeDocument/2006/relationships/hyperlink" Target="http://www.legislation.gov.uk/uksi/2012/1034/schedule/4/made" TargetMode="External"/><Relationship Id="rId2" Type="http://schemas.openxmlformats.org/officeDocument/2006/relationships/styles" Target="styles.xml"/><Relationship Id="rId16" Type="http://schemas.openxmlformats.org/officeDocument/2006/relationships/hyperlink" Target="http://www.legislation.gov.uk/uksi/2012/1034/schedule/4/made" TargetMode="External"/><Relationship Id="rId29" Type="http://schemas.openxmlformats.org/officeDocument/2006/relationships/hyperlink" Target="http://www.legislation.gov.uk/id/nisi/2005/1454" TargetMode="External"/><Relationship Id="rId1" Type="http://schemas.openxmlformats.org/officeDocument/2006/relationships/numbering" Target="numbering.xml"/><Relationship Id="rId6" Type="http://schemas.openxmlformats.org/officeDocument/2006/relationships/hyperlink" Target="http://www.legislation.gov.uk/uksi/2012/1034/schedule/4/made" TargetMode="External"/><Relationship Id="rId11" Type="http://schemas.openxmlformats.org/officeDocument/2006/relationships/hyperlink" Target="http://www.legislation.gov.uk/uksi/2012/1034/schedule/4/made" TargetMode="External"/><Relationship Id="rId24" Type="http://schemas.openxmlformats.org/officeDocument/2006/relationships/hyperlink" Target="http://www.legislation.gov.uk/id/ukpga/1986/46" TargetMode="External"/><Relationship Id="rId32" Type="http://schemas.openxmlformats.org/officeDocument/2006/relationships/hyperlink" Target="http://www.legislation.gov.uk/id/nisi/2006/314" TargetMode="External"/><Relationship Id="rId37" Type="http://schemas.openxmlformats.org/officeDocument/2006/relationships/hyperlink" Target="http://www.legislation.gov.uk/id/uksi/2009/1941" TargetMode="External"/><Relationship Id="rId40" Type="http://schemas.openxmlformats.org/officeDocument/2006/relationships/hyperlink" Target="http://www.legislation.gov.uk/id/asp/2005/10" TargetMode="External"/><Relationship Id="rId45" Type="http://schemas.openxmlformats.org/officeDocument/2006/relationships/hyperlink" Target="http://www.legislation.gov.uk/id/uksi/2009/2611" TargetMode="External"/><Relationship Id="rId53" Type="http://schemas.openxmlformats.org/officeDocument/2006/relationships/hyperlink" Target="http://www.legislation.gov.uk/id/ukpga/2008/25" TargetMode="External"/><Relationship Id="rId58" Type="http://schemas.openxmlformats.org/officeDocument/2006/relationships/hyperlink" Target="http://www.legislation.gov.uk/id/uksi/2010/1158" TargetMode="External"/><Relationship Id="rId66" Type="http://schemas.openxmlformats.org/officeDocument/2006/relationships/hyperlink" Target="mailto:governor.support@derbyshire.gov.uk" TargetMode="External"/><Relationship Id="rId5" Type="http://schemas.openxmlformats.org/officeDocument/2006/relationships/hyperlink" Target="http://www.legislation.gov.uk/uksi/2012/1034/schedule/4/made" TargetMode="External"/><Relationship Id="rId15" Type="http://schemas.openxmlformats.org/officeDocument/2006/relationships/hyperlink" Target="http://www.legislation.gov.uk/uksi/2012/1034/schedule/4/made" TargetMode="External"/><Relationship Id="rId23" Type="http://schemas.openxmlformats.org/officeDocument/2006/relationships/hyperlink" Target="http://www.legislation.gov.uk/id/ukpga/2007/15" TargetMode="External"/><Relationship Id="rId28" Type="http://schemas.openxmlformats.org/officeDocument/2006/relationships/hyperlink" Target="http://www.legislation.gov.uk/id/nia/2010/16" TargetMode="External"/><Relationship Id="rId36" Type="http://schemas.openxmlformats.org/officeDocument/2006/relationships/hyperlink" Target="http://www.legislation.gov.uk/id/uksi/2009/805" TargetMode="External"/><Relationship Id="rId49" Type="http://schemas.openxmlformats.org/officeDocument/2006/relationships/hyperlink" Target="http://www.legislation.gov.uk/id/uksi/2010/1101" TargetMode="External"/><Relationship Id="rId57" Type="http://schemas.openxmlformats.org/officeDocument/2006/relationships/hyperlink" Target="http://www.legislation.gov.uk/id/ukpga/1992/13" TargetMode="External"/><Relationship Id="rId61" Type="http://schemas.openxmlformats.org/officeDocument/2006/relationships/hyperlink" Target="http://www.legislation.gov.uk/id/ukpga/2006/52" TargetMode="External"/><Relationship Id="rId10" Type="http://schemas.openxmlformats.org/officeDocument/2006/relationships/hyperlink" Target="http://www.legislation.gov.uk/uksi/2012/1034/schedule/4/made" TargetMode="External"/><Relationship Id="rId19" Type="http://schemas.openxmlformats.org/officeDocument/2006/relationships/hyperlink" Target="http://www.legislation.gov.uk/uksi/2012/1034/schedule/4/made" TargetMode="External"/><Relationship Id="rId31" Type="http://schemas.openxmlformats.org/officeDocument/2006/relationships/hyperlink" Target="http://www.legislation.gov.uk/id/nisi/2005/1967" TargetMode="External"/><Relationship Id="rId44" Type="http://schemas.openxmlformats.org/officeDocument/2006/relationships/hyperlink" Target="http://www.legislation.gov.uk/id/uksi/2009/2611" TargetMode="External"/><Relationship Id="rId52" Type="http://schemas.openxmlformats.org/officeDocument/2006/relationships/hyperlink" Target="http://www.legislation.gov.uk/id/ukpga/2006/40" TargetMode="External"/><Relationship Id="rId60" Type="http://schemas.openxmlformats.org/officeDocument/2006/relationships/hyperlink" Target="http://www.legislation.gov.uk/id/ukpga/2005/15" TargetMode="External"/><Relationship Id="rId6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egislation.gov.uk/uksi/2012/1034/schedule/4/made" TargetMode="External"/><Relationship Id="rId14" Type="http://schemas.openxmlformats.org/officeDocument/2006/relationships/hyperlink" Target="http://www.legislation.gov.uk/uksi/2012/1034/schedule/4/made" TargetMode="External"/><Relationship Id="rId22" Type="http://schemas.openxmlformats.org/officeDocument/2006/relationships/hyperlink" Target="http://www.legislation.gov.uk/id/ukpga/1986/45" TargetMode="External"/><Relationship Id="rId27" Type="http://schemas.openxmlformats.org/officeDocument/2006/relationships/hyperlink" Target="http://www.legislation.gov.uk/id/ukpga/2009/1" TargetMode="External"/><Relationship Id="rId30" Type="http://schemas.openxmlformats.org/officeDocument/2006/relationships/hyperlink" Target="http://www.legislation.gov.uk/id/nisi/2005/1455" TargetMode="External"/><Relationship Id="rId35" Type="http://schemas.openxmlformats.org/officeDocument/2006/relationships/hyperlink" Target="http://www.legislation.gov.uk/id/uksi/2008/948" TargetMode="External"/><Relationship Id="rId43" Type="http://schemas.openxmlformats.org/officeDocument/2006/relationships/hyperlink" Target="http://www.legislation.gov.uk/id/ukpga/2006/47" TargetMode="External"/><Relationship Id="rId48" Type="http://schemas.openxmlformats.org/officeDocument/2006/relationships/hyperlink" Target="http://www.legislation.gov.uk/id/uksi/2009/2611" TargetMode="External"/><Relationship Id="rId56" Type="http://schemas.openxmlformats.org/officeDocument/2006/relationships/hyperlink" Target="http://www.legislation.gov.uk/id/uksi/2010/1158" TargetMode="External"/><Relationship Id="rId64" Type="http://schemas.openxmlformats.org/officeDocument/2006/relationships/hyperlink" Target="http://www.legislation.gov.uk/id/uksi/2010/1146" TargetMode="External"/><Relationship Id="rId8" Type="http://schemas.openxmlformats.org/officeDocument/2006/relationships/hyperlink" Target="http://www.legislation.gov.uk/uksi/2012/1034/schedule/4/made" TargetMode="External"/><Relationship Id="rId51" Type="http://schemas.openxmlformats.org/officeDocument/2006/relationships/hyperlink" Target="http://www.legislation.gov.uk/id/ukpga/2006/21" TargetMode="External"/><Relationship Id="rId3" Type="http://schemas.openxmlformats.org/officeDocument/2006/relationships/settings" Target="settings.xml"/><Relationship Id="rId12" Type="http://schemas.openxmlformats.org/officeDocument/2006/relationships/hyperlink" Target="http://www.legislation.gov.uk/uksi/2012/1034/schedule/4/made" TargetMode="External"/><Relationship Id="rId17" Type="http://schemas.openxmlformats.org/officeDocument/2006/relationships/hyperlink" Target="http://www.legislation.gov.uk/uksi/2012/1034/schedule/4/made" TargetMode="External"/><Relationship Id="rId25" Type="http://schemas.openxmlformats.org/officeDocument/2006/relationships/hyperlink" Target="http://www.legislation.gov.uk/id/nisi/2002/3150" TargetMode="External"/><Relationship Id="rId33" Type="http://schemas.openxmlformats.org/officeDocument/2006/relationships/hyperlink" Target="http://www.legislation.gov.uk/id/nisi/2006/3336" TargetMode="External"/><Relationship Id="rId38" Type="http://schemas.openxmlformats.org/officeDocument/2006/relationships/hyperlink" Target="http://www.legislation.gov.uk/id/ukpga/1986/45" TargetMode="External"/><Relationship Id="rId46" Type="http://schemas.openxmlformats.org/officeDocument/2006/relationships/hyperlink" Target="http://www.legislation.gov.uk/id/ukpga/2006/47" TargetMode="External"/><Relationship Id="rId59" Type="http://schemas.openxmlformats.org/officeDocument/2006/relationships/hyperlink" Target="http://www.legislation.gov.uk/id/ukpga/1997/50" TargetMode="External"/><Relationship Id="rId67" Type="http://schemas.openxmlformats.org/officeDocument/2006/relationships/fontTable" Target="fontTable.xml"/><Relationship Id="rId20" Type="http://schemas.openxmlformats.org/officeDocument/2006/relationships/hyperlink" Target="http://www.legislation.gov.uk/id/ukpga/1986/45" TargetMode="External"/><Relationship Id="rId41" Type="http://schemas.openxmlformats.org/officeDocument/2006/relationships/hyperlink" Target="http://www.legislation.gov.uk/id/ukpga/1999/14" TargetMode="External"/><Relationship Id="rId54" Type="http://schemas.openxmlformats.org/officeDocument/2006/relationships/hyperlink" Target="http://www.legislation.gov.uk/id/ukpga/2009/22" TargetMode="External"/><Relationship Id="rId62" Type="http://schemas.openxmlformats.org/officeDocument/2006/relationships/hyperlink" Target="http://www.legislation.gov.uk/id/ukpga/200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Powell</dc:creator>
  <cp:keywords/>
  <dc:description/>
  <cp:lastModifiedBy>Benjamin Powell</cp:lastModifiedBy>
  <cp:revision>1</cp:revision>
  <dcterms:created xsi:type="dcterms:W3CDTF">2019-09-09T18:53:00Z</dcterms:created>
  <dcterms:modified xsi:type="dcterms:W3CDTF">2019-09-09T18:55:00Z</dcterms:modified>
</cp:coreProperties>
</file>